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 xml:space="preserve">W RAMACH </w:t>
      </w:r>
      <w:r w:rsidR="004768AE" w:rsidRPr="00D724A7">
        <w:rPr>
          <w:rFonts w:cs="Arial"/>
          <w:b/>
          <w:sz w:val="24"/>
          <w:szCs w:val="20"/>
          <w:u w:val="single"/>
          <w:lang w:eastAsia="x-none"/>
        </w:rPr>
        <w:t xml:space="preserve">REZERWY </w:t>
      </w:r>
      <w:r w:rsidR="004768AE">
        <w:rPr>
          <w:rFonts w:cs="Arial"/>
          <w:b/>
          <w:sz w:val="24"/>
          <w:szCs w:val="20"/>
          <w:lang w:eastAsia="x-none"/>
        </w:rPr>
        <w:t xml:space="preserve">Z </w:t>
      </w:r>
      <w:r w:rsidRPr="00F22AA8">
        <w:rPr>
          <w:rFonts w:cs="Arial"/>
          <w:b/>
          <w:sz w:val="24"/>
          <w:szCs w:val="20"/>
          <w:lang w:eastAsia="x-none"/>
        </w:rPr>
        <w:t>KR</w:t>
      </w:r>
      <w:r w:rsidR="00E13F22">
        <w:rPr>
          <w:rFonts w:cs="Arial"/>
          <w:b/>
          <w:sz w:val="24"/>
          <w:szCs w:val="20"/>
          <w:lang w:eastAsia="x-none"/>
        </w:rPr>
        <w:t xml:space="preserve">AJOWEGO FUNDUSZU SZKOLENIOWEGO </w:t>
      </w:r>
      <w:r w:rsidR="004768AE">
        <w:rPr>
          <w:rFonts w:cs="Arial"/>
          <w:b/>
          <w:sz w:val="24"/>
          <w:szCs w:val="20"/>
          <w:lang w:eastAsia="x-none"/>
        </w:rPr>
        <w:t xml:space="preserve">                 </w:t>
      </w:r>
      <w:r w:rsidR="00E13F22">
        <w:rPr>
          <w:rFonts w:cs="Arial"/>
          <w:b/>
          <w:sz w:val="24"/>
          <w:szCs w:val="20"/>
          <w:lang w:eastAsia="x-none"/>
        </w:rPr>
        <w:t>W</w:t>
      </w:r>
      <w:r w:rsidRPr="00F22AA8">
        <w:rPr>
          <w:rFonts w:cs="Arial"/>
          <w:b/>
          <w:sz w:val="24"/>
          <w:szCs w:val="20"/>
          <w:lang w:eastAsia="x-none"/>
        </w:rPr>
        <w:t xml:space="preserve"> 202</w:t>
      </w:r>
      <w:r w:rsidR="000A7FE4">
        <w:rPr>
          <w:rFonts w:cs="Arial"/>
          <w:b/>
          <w:sz w:val="24"/>
          <w:szCs w:val="20"/>
          <w:lang w:eastAsia="x-none"/>
        </w:rPr>
        <w:t>5</w:t>
      </w:r>
      <w:r w:rsidRPr="00F22AA8">
        <w:rPr>
          <w:rFonts w:cs="Arial"/>
          <w:b/>
          <w:sz w:val="24"/>
          <w:szCs w:val="20"/>
          <w:lang w:eastAsia="x-none"/>
        </w:rPr>
        <w:t xml:space="preserve">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4768AE" w:rsidRDefault="004768AE" w:rsidP="00D724A7">
      <w:pPr>
        <w:shd w:val="clear" w:color="auto" w:fill="D9D9D9" w:themeFill="background1" w:themeFillShade="D9"/>
        <w:spacing w:after="0"/>
        <w:ind w:left="142" w:right="1"/>
        <w:contextualSpacing/>
        <w:jc w:val="both"/>
        <w:rPr>
          <w:rFonts w:ascii="Lato" w:eastAsiaTheme="minorHAnsi" w:hAnsi="Lato" w:cs="Lato"/>
          <w:b/>
          <w:bCs/>
          <w:color w:val="000000"/>
        </w:rPr>
      </w:pPr>
      <w:r w:rsidRPr="004768AE">
        <w:rPr>
          <w:rFonts w:ascii="Arial" w:eastAsia="Times New Roman" w:hAnsi="Arial" w:cs="Arial"/>
          <w:b/>
          <w:bCs/>
          <w:iCs/>
          <w:sz w:val="20"/>
          <w:lang w:eastAsia="pl-PL"/>
        </w:rPr>
        <w:t xml:space="preserve">Priorytet </w:t>
      </w:r>
      <w:r w:rsidR="000A7FE4">
        <w:rPr>
          <w:rFonts w:ascii="Arial" w:eastAsia="Times New Roman" w:hAnsi="Arial" w:cs="Arial"/>
          <w:b/>
          <w:bCs/>
          <w:iCs/>
          <w:sz w:val="20"/>
          <w:lang w:eastAsia="pl-PL"/>
        </w:rPr>
        <w:t>10</w:t>
      </w:r>
      <w:r w:rsidRPr="001A69F8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 </w:t>
      </w:r>
      <w:r w:rsidR="005A5CF1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-  </w:t>
      </w:r>
      <w:r w:rsidR="000A7FE4" w:rsidRPr="00997474">
        <w:rPr>
          <w:rFonts w:ascii="Lato" w:eastAsiaTheme="minorHAnsi" w:hAnsi="Lato" w:cs="Lato"/>
          <w:b/>
          <w:bCs/>
          <w:color w:val="000000"/>
        </w:rPr>
        <w:t>Wsparcie kształcenia ustawicznego osób po 50 roku życia</w:t>
      </w:r>
    </w:p>
    <w:p w:rsidR="000A7FE4" w:rsidRPr="004768AE" w:rsidRDefault="000A7FE4" w:rsidP="000A7FE4">
      <w:pPr>
        <w:spacing w:after="0"/>
        <w:ind w:left="142" w:right="1"/>
        <w:contextualSpacing/>
        <w:jc w:val="both"/>
        <w:rPr>
          <w:rFonts w:cs="Calibri"/>
          <w:lang w:eastAsia="pl-PL"/>
        </w:rPr>
      </w:pPr>
    </w:p>
    <w:p w:rsidR="000A7FE4" w:rsidRPr="000A7FE4" w:rsidRDefault="000A7FE4" w:rsidP="000A7FE4">
      <w:pPr>
        <w:spacing w:after="120"/>
        <w:ind w:left="142"/>
        <w:jc w:val="both"/>
        <w:rPr>
          <w:rFonts w:ascii="Lato" w:eastAsia="Times New Roman" w:hAnsi="Lato"/>
          <w:lang w:eastAsia="pl-PL"/>
        </w:rPr>
      </w:pPr>
      <w:r w:rsidRPr="000A7FE4">
        <w:rPr>
          <w:rFonts w:ascii="Lato" w:eastAsia="Times New Roman" w:hAnsi="Lato"/>
          <w:lang w:eastAsia="pl-PL"/>
        </w:rPr>
        <w:t xml:space="preserve">W ramach niniejszego priorytetu środki KFS będą mogły sfinansować kształcenie ustawiczne osób wyłącznie w wieku powyżej 50 roku życia (zarówno pracodawców jak i pracowników). </w:t>
      </w:r>
    </w:p>
    <w:p w:rsidR="000A7FE4" w:rsidRPr="000A7FE4" w:rsidRDefault="000A7FE4" w:rsidP="000A7FE4">
      <w:pPr>
        <w:spacing w:after="120"/>
        <w:ind w:left="142"/>
        <w:jc w:val="both"/>
        <w:rPr>
          <w:rFonts w:ascii="Lato" w:eastAsia="Times New Roman" w:hAnsi="Lato"/>
          <w:lang w:eastAsia="pl-PL"/>
        </w:rPr>
      </w:pPr>
      <w:r w:rsidRPr="000A7FE4">
        <w:rPr>
          <w:rFonts w:ascii="Lato" w:eastAsia="Times New Roman" w:hAnsi="Lato"/>
          <w:lang w:eastAsia="pl-PL"/>
        </w:rPr>
        <w:t xml:space="preserve">Decyduje wiek osoby, która skorzysta z wybranej formy kształcenia ustawicznego, w momencie składania przez pracodawcę wniosku o dofinansowanie w PUP. </w:t>
      </w:r>
    </w:p>
    <w:p w:rsidR="000A7FE4" w:rsidRPr="000A7FE4" w:rsidRDefault="000A7FE4" w:rsidP="000A7FE4">
      <w:pPr>
        <w:spacing w:after="120"/>
        <w:ind w:left="142"/>
        <w:jc w:val="both"/>
        <w:rPr>
          <w:rFonts w:ascii="Lato" w:eastAsia="Times New Roman" w:hAnsi="Lato"/>
          <w:lang w:eastAsia="pl-PL"/>
        </w:rPr>
      </w:pPr>
      <w:r w:rsidRPr="000A7FE4">
        <w:rPr>
          <w:rFonts w:ascii="Lato" w:eastAsia="Times New Roman" w:hAnsi="Lato"/>
          <w:lang w:eastAsia="pl-PL"/>
        </w:rPr>
        <w:t>Temat szkolenia/kursu nie jest narzucony z góry. W uzasadnieniu należy wykazać potrzebę nabycia umiejętności.</w:t>
      </w:r>
    </w:p>
    <w:p w:rsidR="00213502" w:rsidRDefault="00213502" w:rsidP="000A7FE4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8E18B2" w:rsidRPr="00D37704" w:rsidRDefault="00213502" w:rsidP="008E18B2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D37704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D37704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="008E18B2" w:rsidRPr="00D37704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="008E18B2" w:rsidRPr="00D37704">
        <w:rPr>
          <w:rFonts w:ascii="Arial" w:hAnsi="Arial" w:cs="Arial"/>
          <w:b/>
          <w:sz w:val="20"/>
          <w:szCs w:val="20"/>
          <w:lang w:eastAsia="x-none"/>
        </w:rPr>
        <w:t>VI pkt 1 wniosku</w:t>
      </w:r>
      <w:r w:rsidR="008E18B2" w:rsidRPr="00D37704">
        <w:rPr>
          <w:rFonts w:ascii="Arial" w:hAnsi="Arial" w:cs="Arial"/>
          <w:sz w:val="20"/>
          <w:szCs w:val="20"/>
          <w:lang w:eastAsia="x-none"/>
        </w:rPr>
        <w:t xml:space="preserve"> uzasadnienie potrzeby odbycia kształcenia ustawicznego oraz dołączyć oświadczenie </w:t>
      </w:r>
      <w:r w:rsidR="008E18B2" w:rsidRPr="00D37704">
        <w:rPr>
          <w:rFonts w:ascii="Arial" w:hAnsi="Arial" w:cs="Arial"/>
          <w:i/>
          <w:sz w:val="20"/>
          <w:szCs w:val="20"/>
          <w:lang w:eastAsia="x-none"/>
        </w:rPr>
        <w:t>(załączniki nr 4 do wniosku).</w:t>
      </w:r>
    </w:p>
    <w:p w:rsidR="00F22AA8" w:rsidRPr="000A01D3" w:rsidRDefault="00F22AA8" w:rsidP="008E18B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D724A7">
        <w:rPr>
          <w:rFonts w:ascii="Arial" w:hAnsi="Arial" w:cs="Arial"/>
          <w:b/>
          <w:sz w:val="20"/>
          <w:szCs w:val="20"/>
          <w:highlight w:val="lightGray"/>
        </w:rPr>
        <w:t xml:space="preserve">Priorytet </w:t>
      </w:r>
      <w:r w:rsidR="000A7FE4" w:rsidRPr="00D724A7">
        <w:rPr>
          <w:rFonts w:ascii="Arial" w:hAnsi="Arial" w:cs="Arial"/>
          <w:b/>
          <w:sz w:val="20"/>
          <w:szCs w:val="20"/>
          <w:highlight w:val="lightGray"/>
        </w:rPr>
        <w:t>11</w:t>
      </w:r>
      <w:r w:rsidRPr="00D724A7">
        <w:rPr>
          <w:rFonts w:ascii="Arial" w:hAnsi="Arial" w:cs="Arial"/>
          <w:b/>
          <w:sz w:val="20"/>
          <w:szCs w:val="20"/>
          <w:highlight w:val="lightGray"/>
        </w:rPr>
        <w:t xml:space="preserve"> - Wsparcie kształcenia ustawicznego osób z orzeczonym stopniem </w:t>
      </w:r>
      <w:r w:rsidR="00D724A7">
        <w:rPr>
          <w:rFonts w:ascii="Arial" w:hAnsi="Arial" w:cs="Arial"/>
          <w:b/>
          <w:sz w:val="20"/>
          <w:szCs w:val="20"/>
          <w:highlight w:val="lightGray"/>
        </w:rPr>
        <w:t>niepełnosprawności</w:t>
      </w: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31E80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A69F8">
        <w:rPr>
          <w:rFonts w:ascii="Arial" w:hAnsi="Arial" w:cs="Arial"/>
          <w:sz w:val="20"/>
          <w:szCs w:val="20"/>
        </w:rPr>
        <w:t>Wnioskodawca składający wniosek o środki w ramach powyższego priorytetu powinien przedłożyć oświadczenie o posiadaniu przez kandydata na szkolenie</w:t>
      </w:r>
      <w:r>
        <w:rPr>
          <w:rFonts w:ascii="Arial" w:hAnsi="Arial" w:cs="Arial"/>
          <w:sz w:val="20"/>
          <w:szCs w:val="20"/>
        </w:rPr>
        <w:t xml:space="preserve">/studia podyplomowe orzeczenia                                 </w:t>
      </w:r>
      <w:r w:rsidRPr="001A69F8">
        <w:rPr>
          <w:rFonts w:ascii="Arial" w:hAnsi="Arial" w:cs="Arial"/>
          <w:sz w:val="20"/>
          <w:szCs w:val="20"/>
        </w:rPr>
        <w:t>o niepełnosprawności, które zachowuje ważność co najmniej przez okres trwania wnioskowanej formy kształcenia.</w:t>
      </w:r>
    </w:p>
    <w:p w:rsidR="001A69F8" w:rsidRP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Pr="00D37704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sz w:val="20"/>
          <w:szCs w:val="20"/>
          <w:lang w:eastAsia="x-none"/>
        </w:rPr>
        <w:t>uzasadnienie potrzeby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odbycia kształcenia ustawicznego</w:t>
      </w:r>
      <w:r w:rsidR="00B559BA">
        <w:rPr>
          <w:rFonts w:ascii="Arial" w:hAnsi="Arial" w:cs="Arial"/>
          <w:sz w:val="20"/>
          <w:szCs w:val="20"/>
          <w:lang w:eastAsia="x-none"/>
        </w:rPr>
        <w:t xml:space="preserve"> oraz dołączyć oświadczenie </w:t>
      </w:r>
      <w:r w:rsidR="00B559BA" w:rsidRPr="00D37704">
        <w:rPr>
          <w:rFonts w:ascii="Arial" w:hAnsi="Arial" w:cs="Arial"/>
          <w:i/>
          <w:sz w:val="20"/>
          <w:szCs w:val="20"/>
          <w:lang w:eastAsia="x-none"/>
        </w:rPr>
        <w:t xml:space="preserve">(załączniki nr </w:t>
      </w:r>
      <w:r w:rsidR="008E18B2" w:rsidRPr="00D37704">
        <w:rPr>
          <w:rFonts w:ascii="Arial" w:hAnsi="Arial" w:cs="Arial"/>
          <w:i/>
          <w:sz w:val="20"/>
          <w:szCs w:val="20"/>
          <w:lang w:eastAsia="x-none"/>
        </w:rPr>
        <w:t>5</w:t>
      </w:r>
      <w:r w:rsidR="00B559BA" w:rsidRPr="00D37704">
        <w:rPr>
          <w:rFonts w:ascii="Arial" w:hAnsi="Arial" w:cs="Arial"/>
          <w:i/>
          <w:sz w:val="20"/>
          <w:szCs w:val="20"/>
          <w:lang w:eastAsia="x-none"/>
        </w:rPr>
        <w:t xml:space="preserve"> do wniosku).</w:t>
      </w:r>
    </w:p>
    <w:p w:rsidR="009C2328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C2328" w:rsidRPr="00FA2B66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24A7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Priorytet </w:t>
      </w:r>
      <w:r w:rsidR="000A7FE4" w:rsidRPr="00D724A7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12</w:t>
      </w:r>
      <w:r w:rsidRPr="00D724A7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 - </w:t>
      </w:r>
      <w:r w:rsidR="000A7FE4" w:rsidRPr="00D724A7">
        <w:rPr>
          <w:rFonts w:ascii="Lato" w:eastAsiaTheme="minorHAnsi" w:hAnsi="Lato" w:cs="Lato-Regular"/>
          <w:b/>
          <w:bCs/>
          <w:highlight w:val="lightGray"/>
        </w:rPr>
        <w:t>Wsparcie rozwoju umiejętności i kwalifikacji osób z niskim wykształceniem</w:t>
      </w:r>
    </w:p>
    <w:p w:rsidR="009C2328" w:rsidRPr="00FA2B66" w:rsidRDefault="009C2328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C2328" w:rsidRDefault="000A7FE4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Lato" w:hAnsi="Lato"/>
        </w:rPr>
      </w:pPr>
      <w:r w:rsidRPr="000053CA">
        <w:rPr>
          <w:rFonts w:ascii="Lato" w:hAnsi="Lato"/>
        </w:rPr>
        <w:t xml:space="preserve">Ze wsparcia w ramach tego priorytetu mogą skorzystać osoby, które nie mają świadectwa dojrzałości, w tym nie ukończyły </w:t>
      </w:r>
      <w:r w:rsidR="00B3651A">
        <w:rPr>
          <w:rFonts w:ascii="Lato" w:hAnsi="Lato"/>
        </w:rPr>
        <w:t xml:space="preserve">szkoły na jakimkolwiek poziomie. Czyli osób, które nie ukończyły szkoły podstawowej, osób z wykształceniem podstawowym, zasadniczym zawodowym, absolwentów techników bez zdanego egzaminu maturalnego i absolwentów liceów ogólnokształcących bez zdanego egzaminu maturalnego. Oznacza to, że w/w osoby uznaje się za osoby o niskim wykształceniu i mogą one skorzystać z </w:t>
      </w:r>
      <w:r w:rsidR="008E18B2">
        <w:rPr>
          <w:rFonts w:ascii="Lato" w:hAnsi="Lato"/>
        </w:rPr>
        <w:t xml:space="preserve">dofinansowania KFS w ramach tego priorytetu. </w:t>
      </w:r>
      <w:r w:rsidRPr="000053CA">
        <w:rPr>
          <w:rFonts w:ascii="Lato" w:hAnsi="Lato"/>
        </w:rPr>
        <w:t xml:space="preserve"> Jedynym wymogiem jest  aby wnioskodawca wskazał we wniosku, że pracownik kierowany na wnioskowaną formę kształcenia ustawicznego spełnia kryteria dostępu (np. oświadczenie). Obszar czy branża do której należy wnioskodawca</w:t>
      </w:r>
      <w:r w:rsidR="008E18B2">
        <w:rPr>
          <w:rFonts w:ascii="Lato" w:hAnsi="Lato"/>
        </w:rPr>
        <w:t xml:space="preserve"> </w:t>
      </w:r>
      <w:r w:rsidRPr="000053CA">
        <w:rPr>
          <w:rFonts w:ascii="Lato" w:hAnsi="Lato"/>
        </w:rPr>
        <w:t>a także temat szkolenia nie jest istotny</w:t>
      </w:r>
      <w:r>
        <w:rPr>
          <w:rFonts w:ascii="Lato" w:hAnsi="Lato"/>
        </w:rPr>
        <w:t>.</w:t>
      </w:r>
    </w:p>
    <w:p w:rsidR="000A7FE4" w:rsidRPr="00FA2B66" w:rsidRDefault="000A7FE4" w:rsidP="009C232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C2328" w:rsidRPr="00D37704" w:rsidRDefault="009C2328" w:rsidP="009C2328">
      <w:p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377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="008E18B2" w:rsidRPr="00D37704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="008E18B2" w:rsidRPr="00D37704">
        <w:rPr>
          <w:rFonts w:ascii="Arial" w:hAnsi="Arial" w:cs="Arial"/>
          <w:b/>
          <w:sz w:val="20"/>
          <w:szCs w:val="20"/>
          <w:lang w:eastAsia="x-none"/>
        </w:rPr>
        <w:t>VI pkt 1 wniosku</w:t>
      </w:r>
      <w:r w:rsidR="008E18B2" w:rsidRPr="00D37704">
        <w:rPr>
          <w:rFonts w:ascii="Arial" w:hAnsi="Arial" w:cs="Arial"/>
          <w:sz w:val="20"/>
          <w:szCs w:val="20"/>
          <w:lang w:eastAsia="x-none"/>
        </w:rPr>
        <w:t xml:space="preserve"> uzasadnienie potrzeby odbycia kształcenia ustawicznego oraz dołączyć oświadczenie </w:t>
      </w:r>
      <w:r w:rsidR="008E18B2" w:rsidRPr="00D37704">
        <w:rPr>
          <w:rFonts w:ascii="Arial" w:hAnsi="Arial" w:cs="Arial"/>
          <w:i/>
          <w:sz w:val="20"/>
          <w:szCs w:val="20"/>
          <w:lang w:eastAsia="x-none"/>
        </w:rPr>
        <w:t>(załączniki nr 6 do wniosku).</w:t>
      </w:r>
      <w:bookmarkStart w:id="0" w:name="_GoBack"/>
      <w:bookmarkEnd w:id="0"/>
    </w:p>
    <w:p w:rsidR="001A69F8" w:rsidRPr="000A01D3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A03D9" w:rsidRDefault="00FA2B66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 w:rsidR="000A7FE4"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>13</w:t>
      </w:r>
      <w:r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- </w:t>
      </w:r>
      <w:r w:rsidR="001A69F8"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Wsparcie kształcenia ustawicznego w obszarach/branżach kluczowych dla rozwoju powiatu</w:t>
      </w:r>
      <w:r w:rsidR="007F7CAA"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limanowskiego </w:t>
      </w:r>
      <w:r w:rsidR="001A69F8" w:rsidRP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>wskazanych w dokumentach strategicznych/pl</w:t>
      </w:r>
      <w:r w:rsidR="00D724A7">
        <w:rPr>
          <w:rFonts w:ascii="Arial" w:hAnsi="Arial" w:cs="Arial"/>
          <w:b/>
          <w:sz w:val="20"/>
          <w:szCs w:val="20"/>
          <w:highlight w:val="lightGray"/>
          <w:lang w:eastAsia="pl-PL"/>
        </w:rPr>
        <w:t>anach rozwoju</w:t>
      </w:r>
    </w:p>
    <w:p w:rsidR="001A69F8" w:rsidRPr="000A01D3" w:rsidRDefault="001A69F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C6A71" w:rsidRPr="00A75A24" w:rsidRDefault="005C6A71" w:rsidP="007F7CAA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Na podstawie dokumentu Strategia Rozwoju Powiatu Limanowskiego  na lata 2019-2025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uznano,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                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że obszarami kluczowymi dla rozwoju powiatu limanowskiego wymagającymi szczególnego wsparcia w postaci różnego rodzaju form kształcenia ustawicznego są: </w:t>
      </w: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  <w:t>opieka społeczna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 xml:space="preserve">doskonalenie kompetencji kadr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w zawodach opiekuńczych),</w:t>
      </w:r>
    </w:p>
    <w:p w:rsidR="00F51CAD" w:rsidRPr="00A75A24" w:rsidRDefault="005C6A71" w:rsidP="005C6A71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administracja samorządowa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doskonalenie kompetencji k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adr administracji samorządowej).</w:t>
      </w:r>
    </w:p>
    <w:p w:rsidR="003E01C1" w:rsidRDefault="003E01C1" w:rsidP="009C2328">
      <w:pPr>
        <w:pStyle w:val="Tekstpodstawowy"/>
        <w:tabs>
          <w:tab w:val="left" w:pos="426"/>
        </w:tabs>
        <w:spacing w:line="276" w:lineRule="auto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3E01C1" w:rsidRDefault="00D37704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  <w:hyperlink r:id="rId8" w:history="1">
        <w:r w:rsidR="00BA20D6" w:rsidRPr="00BA20D6">
          <w:rPr>
            <w:rStyle w:val="Hipercze"/>
            <w:rFonts w:eastAsia="Times New Roman"/>
            <w:b/>
            <w:sz w:val="20"/>
            <w:szCs w:val="20"/>
            <w:lang w:val="pl-PL" w:eastAsia="pl-PL"/>
          </w:rPr>
          <w:t>Strategia Rozwoju Powiatu Limanowskiego na lata 2019-2025</w:t>
        </w:r>
      </w:hyperlink>
    </w:p>
    <w:p w:rsidR="003F6FD4" w:rsidRDefault="003F6FD4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3F6FD4" w:rsidRPr="000A01D3" w:rsidRDefault="003F6FD4" w:rsidP="003F6FD4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x-none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dotyczącej uzasadnienia potrzeby odbycia kształcenia ustawicznego, że współfinansowane ze środków</w:t>
      </w:r>
      <w:r>
        <w:rPr>
          <w:rFonts w:ascii="Arial" w:hAnsi="Arial" w:cs="Arial"/>
          <w:sz w:val="20"/>
          <w:szCs w:val="20"/>
          <w:lang w:eastAsia="x-none"/>
        </w:rPr>
        <w:t xml:space="preserve"> rezerwy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KFS działania zmierzające do podniesienia kompetencji pracowników z</w:t>
      </w:r>
      <w:r>
        <w:rPr>
          <w:rFonts w:ascii="Arial" w:hAnsi="Arial" w:cs="Arial"/>
          <w:sz w:val="20"/>
          <w:szCs w:val="20"/>
          <w:lang w:eastAsia="x-none"/>
        </w:rPr>
        <w:t xml:space="preserve">wiązane są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z ich zadaniami realizowanymi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 w</w:t>
      </w:r>
      <w:r w:rsidR="004817BC">
        <w:rPr>
          <w:rFonts w:ascii="Arial" w:hAnsi="Arial" w:cs="Arial"/>
          <w:sz w:val="20"/>
          <w:szCs w:val="20"/>
          <w:lang w:eastAsia="x-none"/>
        </w:rPr>
        <w:t xml:space="preserve"> wskazanym 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obszarze kluczowym oraz dołączyć do wniosku oświadczenie 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(załącznik nr </w:t>
      </w:r>
      <w:r w:rsidR="008E18B2">
        <w:rPr>
          <w:rFonts w:ascii="Arial" w:hAnsi="Arial" w:cs="Arial"/>
          <w:i/>
          <w:sz w:val="20"/>
          <w:szCs w:val="20"/>
          <w:lang w:eastAsia="x-none"/>
        </w:rPr>
        <w:t>7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 do wniosku).</w:t>
      </w:r>
    </w:p>
    <w:p w:rsidR="00E86204" w:rsidRDefault="00E86204" w:rsidP="002A03D9">
      <w:pPr>
        <w:spacing w:after="0" w:line="240" w:lineRule="auto"/>
        <w:jc w:val="both"/>
      </w:pPr>
    </w:p>
    <w:p w:rsidR="00E86204" w:rsidRDefault="00E86204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w ramach </w:t>
      </w:r>
      <w:r w:rsidR="00D724A7"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 xml:space="preserve">KFS zostaną przyznane pracodawcom wyłonionym w drodze konkursu. Wnioskodawca, którego wniosek uzyskał liczbę punktów co najmniej 40, może otrzymać wsparcie w ramach </w:t>
      </w:r>
      <w:r w:rsidR="00D724A7"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>Krajowego Funduszu Szkoleniowego.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  pracowników oraz Komisję ds. opiniowania wniosków</w:t>
      </w:r>
      <w:r>
        <w:rPr>
          <w:rFonts w:ascii="Arial" w:eastAsiaTheme="minorHAnsi" w:hAnsi="Arial" w:cs="Arial"/>
          <w:color w:val="FF0000"/>
          <w:sz w:val="20"/>
        </w:rPr>
        <w:t xml:space="preserve"> </w:t>
      </w:r>
      <w:r w:rsidRPr="00E207C8">
        <w:rPr>
          <w:rFonts w:ascii="Arial" w:eastAsiaTheme="minorHAnsi" w:hAnsi="Arial" w:cs="Arial"/>
          <w:sz w:val="20"/>
        </w:rPr>
        <w:t xml:space="preserve">w </w:t>
      </w:r>
      <w:r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W ramach środków z </w:t>
      </w:r>
      <w:r w:rsidR="00D724A7"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>KFS pracodawca może złożyć w ramach jednego naboru maksymalnie dwa wnioski.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40 dni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 wniosków, rozpatrzenie wniosków i zawarcie umowy. W przypadku zbyt krótkiego terminu do rozpoczęcia wnioskowanego kształcenia, urząd może odmówić podpisania umowy.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Mając na względzie sprawną obsługę pracodawców, w sytuacji kiedy kwota dofinansowania  </w:t>
      </w:r>
      <w:r>
        <w:rPr>
          <w:rFonts w:ascii="Arial" w:eastAsiaTheme="minorHAnsi" w:hAnsi="Arial" w:cs="Arial"/>
          <w:sz w:val="20"/>
        </w:rPr>
        <w:t xml:space="preserve">                w </w:t>
      </w:r>
      <w:r w:rsidRPr="000A01D3">
        <w:rPr>
          <w:rFonts w:ascii="Arial" w:eastAsiaTheme="minorHAnsi" w:hAnsi="Arial" w:cs="Arial"/>
          <w:sz w:val="20"/>
        </w:rPr>
        <w:t>złożonych wnioskach przewyższa dostępny limit, Urząd może zawrzeć umowę kształcenie przed rozstrzygnięciem konkursu i sporządzeniem rankingu punktowego w przypadku uzyskania min. 50 punktów w ocenie merytorycznej wniosku. Jeżeli natomiast posiadany limit środków pozwoli na pokrycie zapotrzebowania zgłoszonego przez pracodawców w danym naborze, Urząd dopuszcza zawarcie umowy na podstawie wniosku, który uzyskał min. 40 punktów.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 wymogów formalnych, tj.:</w:t>
      </w:r>
    </w:p>
    <w:p w:rsidR="008E18B2" w:rsidRPr="00E8496B" w:rsidRDefault="008E18B2" w:rsidP="008E18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8E18B2" w:rsidRPr="000A01D3" w:rsidRDefault="008E18B2" w:rsidP="008E18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 (lub pracodawcy) zgodnie z Kodeksem Pracy;</w:t>
      </w:r>
    </w:p>
    <w:p w:rsidR="008E18B2" w:rsidRPr="000A01D3" w:rsidRDefault="008E18B2" w:rsidP="008E18B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 gospodarczej na terenie powiatu  limanowskiego;</w:t>
      </w:r>
    </w:p>
    <w:p w:rsidR="008E18B2" w:rsidRPr="000A01D3" w:rsidRDefault="008E18B2" w:rsidP="008E18B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8E18B2" w:rsidRPr="000A01D3" w:rsidRDefault="008E18B2" w:rsidP="008E18B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>
        <w:rPr>
          <w:rFonts w:ascii="Arial" w:eastAsiaTheme="minorHAnsi" w:hAnsi="Arial" w:cs="Arial"/>
          <w:sz w:val="20"/>
        </w:rPr>
        <w:t>tetami wydatkowania środków</w:t>
      </w:r>
      <w:r w:rsidR="00D724A7">
        <w:rPr>
          <w:rFonts w:ascii="Arial" w:eastAsiaTheme="minorHAnsi" w:hAnsi="Arial" w:cs="Arial"/>
          <w:sz w:val="20"/>
        </w:rPr>
        <w:t xml:space="preserve"> z rezerwy</w:t>
      </w:r>
      <w:r>
        <w:rPr>
          <w:rFonts w:ascii="Arial" w:eastAsiaTheme="minorHAnsi" w:hAnsi="Arial" w:cs="Arial"/>
          <w:sz w:val="20"/>
        </w:rPr>
        <w:t xml:space="preserve"> KFS;</w:t>
      </w:r>
    </w:p>
    <w:p w:rsidR="008E18B2" w:rsidRPr="00C67933" w:rsidRDefault="008E18B2" w:rsidP="008E18B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możliwości sfinansowania ze środków KFS działań określonych we wniosku z uwz</w:t>
      </w:r>
      <w:r>
        <w:rPr>
          <w:rFonts w:ascii="Arial" w:eastAsiaTheme="minorHAnsi" w:hAnsi="Arial" w:cs="Arial"/>
          <w:sz w:val="20"/>
        </w:rPr>
        <w:t>ględnieniem limitów finansowych.</w:t>
      </w:r>
    </w:p>
    <w:p w:rsidR="008E18B2" w:rsidRPr="000A01D3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pozytywnej oceny formalnej wniosek zostaje przekazany do oceny merytorycznej.</w:t>
      </w:r>
    </w:p>
    <w:p w:rsidR="008E18B2" w:rsidRPr="00E6758D" w:rsidRDefault="008E18B2" w:rsidP="008E18B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Pr="000A01D3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C7449E" w:rsidRPr="00C7449E" w:rsidRDefault="003D2EA5" w:rsidP="00C7449E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D724A7" w:rsidTr="00E852A1">
        <w:trPr>
          <w:trHeight w:val="685"/>
        </w:trPr>
        <w:tc>
          <w:tcPr>
            <w:tcW w:w="8074" w:type="dxa"/>
            <w:gridSpan w:val="5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D724A7" w:rsidTr="00E852A1">
        <w:trPr>
          <w:gridAfter w:val="1"/>
          <w:wAfter w:w="11" w:type="dxa"/>
          <w:trHeight w:val="2627"/>
        </w:trPr>
        <w:tc>
          <w:tcPr>
            <w:tcW w:w="426" w:type="dxa"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Pr="0098017D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D724A7" w:rsidRPr="00C123BD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</w:t>
            </w:r>
            <w:r>
              <w:rPr>
                <w:rFonts w:ascii="Arial" w:eastAsiaTheme="minorHAnsi" w:hAnsi="Arial" w:cs="Arial"/>
                <w:sz w:val="19"/>
                <w:szCs w:val="19"/>
              </w:rPr>
              <w:t>dardami kwalifikacji zawodowych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D724A7" w:rsidRPr="002F75A0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D724A7" w:rsidRPr="002F75A0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D724A7" w:rsidRPr="002F75A0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D724A7" w:rsidRPr="002F75A0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D724A7" w:rsidRPr="002F75A0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ze środków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2024 r.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w 2024 r. wyniósł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b/>
                <w:sz w:val="19"/>
                <w:szCs w:val="19"/>
              </w:rPr>
              <w:t>2304,00 zł,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</w:t>
            </w:r>
            <w:r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4</w:t>
            </w: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 xml:space="preserve"> r. został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D724A7" w:rsidRPr="00E6758D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FF0000"/>
                <w:sz w:val="19"/>
                <w:szCs w:val="19"/>
              </w:rPr>
            </w:pPr>
            <w:r w:rsidRPr="003D73A4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D724A7" w:rsidRPr="00FE3081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1152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 zł</w:t>
            </w:r>
          </w:p>
          <w:p w:rsidR="00D724A7" w:rsidRPr="00FE3081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D724A7" w:rsidRPr="00FE3081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1152,00 zł do 1728,00 zł</w:t>
            </w: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1728,00 zł – 2304,00 zł</w:t>
            </w: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2304,00 zł – 2880,00 zł</w:t>
            </w:r>
          </w:p>
          <w:p w:rsidR="00D724A7" w:rsidRPr="002169F2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169F2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D724A7" w:rsidRPr="00E6758D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2880,00 zł – 3456,00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(125-150% średniego kosztu jednostkowego) - 6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3456,00 zł – 4032,00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(150-175% średniego kosztu jednostkowego) - 5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4032,00 zł – 4608,00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(175-200% średniego kosztu jednostkowego) - 4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4608,00 zł – 5184,00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(200-225% średniego kosztu jednostkowego) - 3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5184,00 zł – 5760,00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(225-250% średniego kosztu jednostkowego) - 2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5760,00 zł – 6912,00 zł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(250-300% średniego kosztu jednostkowego) - 1 pkt</w:t>
            </w: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D724A7" w:rsidRPr="003D73A4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3D73A4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powyżej 6912,00 zł</w:t>
            </w: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3D73A4">
              <w:rPr>
                <w:rFonts w:ascii="Arial" w:eastAsiaTheme="minorHAnsi" w:hAnsi="Arial" w:cs="Arial"/>
                <w:sz w:val="20"/>
                <w:szCs w:val="20"/>
              </w:rPr>
              <w:t>(&gt;300% średniego kosztu jednostkowego) - 0 pkt</w:t>
            </w:r>
          </w:p>
        </w:tc>
      </w:tr>
      <w:tr w:rsidR="00D724A7" w:rsidTr="00E852A1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dostępnych na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lastRenderedPageBreak/>
              <w:t>- maks.10 pkt</w:t>
            </w: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>1) cena planowanego kształcenia jest konkurencyjna,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D724A7" w:rsidTr="00E852A1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finansowanej ze środków KFS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D724A7" w:rsidTr="00E852A1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D724A7" w:rsidTr="00E852A1">
        <w:trPr>
          <w:gridAfter w:val="1"/>
          <w:wAfter w:w="11" w:type="dxa"/>
          <w:trHeight w:val="826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Pracowników,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4 dotyczy kształcenia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stałe zatrudnienie pracownika zatrudnionego na umowę o pracę na czas określony,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 zakresu obowiązków zawodowych zgodnie z kierunkiem kształcenia,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co najmniej jeden rok lub utrzymanie zatrudnienia dla pracownika zatrudnionego na umowę o pracę na czas nieokreślony,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 zakresu obowiązków zawodowych zgodnie z kierunkiem kształcenia,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nie zawarł deklaracji dalszego zatrudnienia pracownika lub deklaracja zatrudnienia nie wskazuje okresu dalszego zatrudnienia,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nie planuje zmiany stanowiska pracy ani poszerzenia zakresu obowiązków zawodowych zgodnie z kierunkiem kształcenia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4) w przypadku kształcenia ustawicznego pracodawcy oceniane będą plany, strategia i rozwój firmy w okresie najbliższego roku,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>powiązane z ukończeniem wnioskowanego kształcenia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0-15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Uzasadnienie potrzeby odbycia kształcenia ustawicznego przez pracownika lub pracodawcę, przy uwzględnieniu obecnych lub przyszłych potrzeb pracodawcy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D724A7" w:rsidRPr="00D23AEE" w:rsidRDefault="00D724A7" w:rsidP="00D724A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Cs w:val="19"/>
              </w:rPr>
              <w:t>- maksymalnie 30 pkt</w:t>
            </w: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D724A7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426" w:type="dxa"/>
            <w:vMerge/>
          </w:tcPr>
          <w:p w:rsidR="00D724A7" w:rsidRDefault="00D724A7" w:rsidP="00E852A1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D724A7" w:rsidRPr="000A01D3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D724A7" w:rsidTr="00E852A1">
        <w:trPr>
          <w:gridAfter w:val="1"/>
          <w:wAfter w:w="11" w:type="dxa"/>
        </w:trPr>
        <w:tc>
          <w:tcPr>
            <w:tcW w:w="8648" w:type="dxa"/>
            <w:gridSpan w:val="6"/>
          </w:tcPr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D724A7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D724A7" w:rsidRPr="00D23AEE" w:rsidRDefault="00D724A7" w:rsidP="00E8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D724A7" w:rsidRPr="00D23AEE" w:rsidRDefault="00D724A7" w:rsidP="00E852A1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C7449E" w:rsidRPr="00D724A7" w:rsidRDefault="00C7449E" w:rsidP="00D724A7">
      <w:p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2A03D9" w:rsidRDefault="003E7D8D" w:rsidP="007D0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ek do przyznania dofinansowania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środków </w:t>
      </w:r>
      <w:r w:rsidR="00E86204">
        <w:rPr>
          <w:rFonts w:ascii="Arial" w:eastAsiaTheme="minorHAnsi" w:hAnsi="Arial" w:cs="Arial"/>
          <w:b/>
          <w:bCs/>
          <w:sz w:val="20"/>
        </w:rPr>
        <w:t xml:space="preserve">rezerwy </w:t>
      </w:r>
      <w:r w:rsidRPr="00E71E46">
        <w:rPr>
          <w:rFonts w:ascii="Arial" w:eastAsiaTheme="minorHAnsi" w:hAnsi="Arial" w:cs="Arial"/>
          <w:b/>
          <w:bCs/>
          <w:sz w:val="20"/>
        </w:rPr>
        <w:t>Krajowego Funduszu Szkoleniowego wynosi 40 punktów.</w:t>
      </w:r>
    </w:p>
    <w:p w:rsidR="00D724A7" w:rsidRPr="007D0BB3" w:rsidRDefault="00D724A7" w:rsidP="007D0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</w:p>
    <w:p w:rsidR="00D724A7" w:rsidRPr="00213502" w:rsidRDefault="00D724A7" w:rsidP="00D724A7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D724A7" w:rsidRPr="00DA0E1B" w:rsidRDefault="00D724A7" w:rsidP="00D724A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DA0E1B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</w:t>
      </w:r>
      <w:r w:rsidR="005B3951">
        <w:rPr>
          <w:rFonts w:ascii="Arial" w:eastAsiaTheme="minorHAnsi" w:hAnsi="Arial" w:cs="Arial"/>
          <w:sz w:val="20"/>
        </w:rPr>
        <w:t xml:space="preserve"> rezerwy </w:t>
      </w:r>
      <w:r w:rsidRPr="00DA0E1B">
        <w:rPr>
          <w:rFonts w:ascii="Arial" w:eastAsiaTheme="minorHAnsi" w:hAnsi="Arial" w:cs="Arial"/>
          <w:sz w:val="20"/>
        </w:rPr>
        <w:t xml:space="preserve"> KFS, a limit finansowy będzie niewystarczający na pokrycie całego zapotrzebowania, wówczas dofinansowanie zostanie przyznane wnioskodawcy, który dotychczas nie korzystał ze środków KFS.</w:t>
      </w:r>
    </w:p>
    <w:p w:rsidR="00D724A7" w:rsidRPr="000A01D3" w:rsidRDefault="00D724A7" w:rsidP="00D724A7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Dofinansowanie w ramach środków </w:t>
      </w:r>
      <w:r w:rsidR="005B3951">
        <w:rPr>
          <w:rFonts w:ascii="Arial" w:eastAsiaTheme="minorHAnsi" w:hAnsi="Arial" w:cs="Arial"/>
          <w:sz w:val="20"/>
        </w:rPr>
        <w:t xml:space="preserve">rezerwy </w:t>
      </w:r>
      <w:r w:rsidRPr="000A01D3">
        <w:rPr>
          <w:rFonts w:ascii="Arial" w:eastAsiaTheme="minorHAnsi" w:hAnsi="Arial" w:cs="Arial"/>
          <w:sz w:val="20"/>
        </w:rPr>
        <w:t>KFS zostanie przyznane pracodawcom, którzy</w:t>
      </w:r>
      <w:r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D724A7" w:rsidRPr="00012712" w:rsidRDefault="00D724A7" w:rsidP="00D724A7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  ustawy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</w:t>
      </w:r>
      <w:r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w co najmniej 70% ze </w:t>
      </w:r>
      <w:r>
        <w:rPr>
          <w:rFonts w:ascii="Arial" w:eastAsiaTheme="minorHAnsi" w:hAnsi="Arial" w:cs="Arial"/>
          <w:sz w:val="20"/>
        </w:rPr>
        <w:t>środków publicznych.</w:t>
      </w:r>
    </w:p>
    <w:p w:rsidR="00195C73" w:rsidRDefault="00E71E46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</w:p>
    <w:p w:rsidR="00D724A7" w:rsidRDefault="00D724A7" w:rsidP="00D724A7">
      <w:pPr>
        <w:tabs>
          <w:tab w:val="left" w:pos="142"/>
        </w:tabs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195C73" w:rsidRDefault="00195C73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</w:p>
    <w:p w:rsidR="00D724A7" w:rsidRDefault="00E71E46" w:rsidP="00D724A7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                                                          </w:t>
      </w:r>
      <w:r w:rsidR="007D0BB3">
        <w:rPr>
          <w:rFonts w:ascii="Arial Narrow" w:hAnsi="Arial Narrow"/>
          <w:b/>
          <w:sz w:val="16"/>
          <w:szCs w:val="16"/>
        </w:rPr>
        <w:t xml:space="preserve">    </w:t>
      </w:r>
      <w:r>
        <w:rPr>
          <w:rFonts w:ascii="Arial Narrow" w:hAnsi="Arial Narrow"/>
          <w:b/>
          <w:sz w:val="16"/>
          <w:szCs w:val="16"/>
        </w:rPr>
        <w:t xml:space="preserve"> </w:t>
      </w:r>
      <w:r w:rsidR="00D724A7">
        <w:rPr>
          <w:rFonts w:ascii="Arial Narrow" w:hAnsi="Arial Narrow"/>
          <w:b/>
          <w:sz w:val="16"/>
          <w:szCs w:val="16"/>
        </w:rPr>
        <w:t xml:space="preserve">  </w:t>
      </w:r>
      <w:r>
        <w:rPr>
          <w:rFonts w:ascii="Arial Narrow" w:hAnsi="Arial Narrow"/>
          <w:b/>
          <w:sz w:val="16"/>
          <w:szCs w:val="16"/>
        </w:rPr>
        <w:t xml:space="preserve"> ZATWIERDZIŁ:</w:t>
      </w:r>
    </w:p>
    <w:p w:rsidR="007D0BB3" w:rsidRDefault="00D724A7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7D0BB3">
        <w:rPr>
          <w:rFonts w:ascii="Arial Narrow" w:hAnsi="Arial Narrow"/>
          <w:b/>
          <w:sz w:val="16"/>
          <w:szCs w:val="16"/>
        </w:rPr>
        <w:t xml:space="preserve">  z up. Starosty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724A7"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Marek Młynarczyk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</w:p>
    <w:p w:rsidR="00E71E46" w:rsidRPr="002A03D9" w:rsidRDefault="00E71E46" w:rsidP="007D0B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</w:p>
    <w:sectPr w:rsidR="00E71E46" w:rsidRPr="002A03D9" w:rsidSect="00E71E4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2" w:rsidRDefault="008E18B2" w:rsidP="002A03D9">
      <w:pPr>
        <w:spacing w:after="0" w:line="240" w:lineRule="auto"/>
      </w:pPr>
      <w:r>
        <w:separator/>
      </w:r>
    </w:p>
  </w:endnote>
  <w:endnote w:type="continuationSeparator" w:id="0">
    <w:p w:rsidR="008E18B2" w:rsidRDefault="008E18B2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2" w:rsidRDefault="008E18B2" w:rsidP="002A03D9">
      <w:pPr>
        <w:spacing w:after="0" w:line="240" w:lineRule="auto"/>
      </w:pPr>
      <w:r>
        <w:separator/>
      </w:r>
    </w:p>
  </w:footnote>
  <w:footnote w:type="continuationSeparator" w:id="0">
    <w:p w:rsidR="008E18B2" w:rsidRDefault="008E18B2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8B2" w:rsidRDefault="008E18B2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704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813393398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8E18B2" w:rsidRDefault="008E1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3D59"/>
    <w:multiLevelType w:val="hybridMultilevel"/>
    <w:tmpl w:val="61404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66E94"/>
    <w:multiLevelType w:val="hybridMultilevel"/>
    <w:tmpl w:val="F514B4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1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31E80"/>
    <w:rsid w:val="00032C39"/>
    <w:rsid w:val="000577F7"/>
    <w:rsid w:val="0008078F"/>
    <w:rsid w:val="00084D70"/>
    <w:rsid w:val="000A01D3"/>
    <w:rsid w:val="000A7FE4"/>
    <w:rsid w:val="000F7112"/>
    <w:rsid w:val="00127D1D"/>
    <w:rsid w:val="00141525"/>
    <w:rsid w:val="00195C73"/>
    <w:rsid w:val="001A69F8"/>
    <w:rsid w:val="001F4C1E"/>
    <w:rsid w:val="00213502"/>
    <w:rsid w:val="002A03D9"/>
    <w:rsid w:val="002C440F"/>
    <w:rsid w:val="002D39B4"/>
    <w:rsid w:val="002F75A0"/>
    <w:rsid w:val="00384323"/>
    <w:rsid w:val="003977A6"/>
    <w:rsid w:val="003D2EA5"/>
    <w:rsid w:val="003E01C1"/>
    <w:rsid w:val="003E7D8D"/>
    <w:rsid w:val="003F6FD4"/>
    <w:rsid w:val="00412D90"/>
    <w:rsid w:val="00451EBA"/>
    <w:rsid w:val="004768AE"/>
    <w:rsid w:val="004817BC"/>
    <w:rsid w:val="005A5CF1"/>
    <w:rsid w:val="005B3951"/>
    <w:rsid w:val="005C6A71"/>
    <w:rsid w:val="00641B6A"/>
    <w:rsid w:val="006A3EF8"/>
    <w:rsid w:val="007D0BB3"/>
    <w:rsid w:val="007D12E0"/>
    <w:rsid w:val="007D2FB7"/>
    <w:rsid w:val="007D3B1C"/>
    <w:rsid w:val="007F7CAA"/>
    <w:rsid w:val="008010DD"/>
    <w:rsid w:val="00827869"/>
    <w:rsid w:val="00827AC4"/>
    <w:rsid w:val="008E18B2"/>
    <w:rsid w:val="008E19E2"/>
    <w:rsid w:val="0093649B"/>
    <w:rsid w:val="0098017D"/>
    <w:rsid w:val="00981CB5"/>
    <w:rsid w:val="009C2328"/>
    <w:rsid w:val="00A109B5"/>
    <w:rsid w:val="00A75A24"/>
    <w:rsid w:val="00AA18B8"/>
    <w:rsid w:val="00AD7081"/>
    <w:rsid w:val="00B3651A"/>
    <w:rsid w:val="00B559BA"/>
    <w:rsid w:val="00BA20D6"/>
    <w:rsid w:val="00BD2C64"/>
    <w:rsid w:val="00C225A4"/>
    <w:rsid w:val="00C303D6"/>
    <w:rsid w:val="00C37846"/>
    <w:rsid w:val="00C54AE6"/>
    <w:rsid w:val="00C67933"/>
    <w:rsid w:val="00C7449E"/>
    <w:rsid w:val="00D23AEE"/>
    <w:rsid w:val="00D37704"/>
    <w:rsid w:val="00D724A7"/>
    <w:rsid w:val="00DD2443"/>
    <w:rsid w:val="00E0075D"/>
    <w:rsid w:val="00E05895"/>
    <w:rsid w:val="00E13F22"/>
    <w:rsid w:val="00E207C8"/>
    <w:rsid w:val="00E22E03"/>
    <w:rsid w:val="00E71E46"/>
    <w:rsid w:val="00E72D21"/>
    <w:rsid w:val="00E73186"/>
    <w:rsid w:val="00E8496B"/>
    <w:rsid w:val="00E86204"/>
    <w:rsid w:val="00EB5CF4"/>
    <w:rsid w:val="00EF3D9B"/>
    <w:rsid w:val="00F22AA8"/>
    <w:rsid w:val="00F51CAD"/>
    <w:rsid w:val="00F77F3E"/>
    <w:rsid w:val="00FA2B66"/>
    <w:rsid w:val="00FB2E85"/>
    <w:rsid w:val="00FB6C29"/>
    <w:rsid w:val="00FC4F5F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521953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F6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51C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20D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sedzi\Downloads\Strategia_Rozwoju_Powiatu_Limanowskiego_na_lata_2019_-2025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535D-B968-4A2C-8798-900EDD05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5</Pages>
  <Words>2052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23</cp:revision>
  <cp:lastPrinted>2024-06-12T07:19:00Z</cp:lastPrinted>
  <dcterms:created xsi:type="dcterms:W3CDTF">2023-01-20T08:22:00Z</dcterms:created>
  <dcterms:modified xsi:type="dcterms:W3CDTF">2025-07-07T09:36:00Z</dcterms:modified>
</cp:coreProperties>
</file>