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D9" w:rsidRDefault="002A03D9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</w:p>
    <w:p w:rsidR="00C95C77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  <w:r w:rsidRPr="00F22AA8">
        <w:rPr>
          <w:rFonts w:cs="Arial"/>
          <w:b/>
          <w:sz w:val="24"/>
          <w:szCs w:val="20"/>
          <w:lang w:eastAsia="x-none"/>
        </w:rPr>
        <w:t>ZAS</w:t>
      </w:r>
      <w:r w:rsidR="00E207C8">
        <w:rPr>
          <w:rFonts w:cs="Arial"/>
          <w:b/>
          <w:sz w:val="24"/>
          <w:szCs w:val="20"/>
          <w:lang w:eastAsia="x-none"/>
        </w:rPr>
        <w:t>A</w:t>
      </w:r>
      <w:r w:rsidRPr="00F22AA8">
        <w:rPr>
          <w:rFonts w:cs="Arial"/>
          <w:b/>
          <w:sz w:val="24"/>
          <w:szCs w:val="20"/>
          <w:lang w:eastAsia="x-none"/>
        </w:rPr>
        <w:t>DY PRZY</w:t>
      </w:r>
      <w:r w:rsidR="00E207C8">
        <w:rPr>
          <w:rFonts w:cs="Arial"/>
          <w:b/>
          <w:sz w:val="24"/>
          <w:szCs w:val="20"/>
          <w:lang w:eastAsia="x-none"/>
        </w:rPr>
        <w:t>Z</w:t>
      </w:r>
      <w:r w:rsidRPr="00F22AA8">
        <w:rPr>
          <w:rFonts w:cs="Arial"/>
          <w:b/>
          <w:sz w:val="24"/>
          <w:szCs w:val="20"/>
          <w:lang w:eastAsia="x-none"/>
        </w:rPr>
        <w:t>NAWANIA ŚRODKÓW NA KSZTAŁCENIE USTAWICZNE</w:t>
      </w:r>
      <w:r w:rsidR="00E13F22">
        <w:rPr>
          <w:rFonts w:cs="Arial"/>
          <w:b/>
          <w:sz w:val="24"/>
          <w:szCs w:val="20"/>
          <w:lang w:eastAsia="x-none"/>
        </w:rPr>
        <w:t xml:space="preserve"> </w:t>
      </w:r>
      <w:r w:rsidRPr="00F22AA8">
        <w:rPr>
          <w:rFonts w:cs="Arial"/>
          <w:b/>
          <w:sz w:val="24"/>
          <w:szCs w:val="20"/>
          <w:lang w:eastAsia="x-none"/>
        </w:rPr>
        <w:t>PRACOWNIKÓW</w:t>
      </w:r>
      <w:r w:rsidR="00C95C77">
        <w:rPr>
          <w:rFonts w:cs="Arial"/>
          <w:b/>
          <w:sz w:val="24"/>
          <w:szCs w:val="20"/>
          <w:lang w:eastAsia="x-none"/>
        </w:rPr>
        <w:t xml:space="preserve"> </w:t>
      </w:r>
    </w:p>
    <w:p w:rsidR="00F22AA8" w:rsidRPr="00F22AA8" w:rsidRDefault="00E13F22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  <w:r>
        <w:rPr>
          <w:rFonts w:cs="Arial"/>
          <w:b/>
          <w:sz w:val="24"/>
          <w:szCs w:val="20"/>
          <w:lang w:eastAsia="x-none"/>
        </w:rPr>
        <w:t xml:space="preserve">I </w:t>
      </w:r>
      <w:r w:rsidRPr="00F22AA8">
        <w:rPr>
          <w:rFonts w:cs="Arial"/>
          <w:b/>
          <w:sz w:val="24"/>
          <w:szCs w:val="20"/>
          <w:lang w:eastAsia="x-none"/>
        </w:rPr>
        <w:t>PRACODAWCY</w:t>
      </w:r>
      <w:r>
        <w:rPr>
          <w:rFonts w:cs="Arial"/>
          <w:b/>
          <w:sz w:val="24"/>
          <w:szCs w:val="20"/>
          <w:lang w:eastAsia="x-none"/>
        </w:rPr>
        <w:t xml:space="preserve"> </w:t>
      </w:r>
      <w:r w:rsidR="00F22AA8" w:rsidRPr="00F22AA8">
        <w:rPr>
          <w:rFonts w:cs="Arial"/>
          <w:b/>
          <w:sz w:val="24"/>
          <w:szCs w:val="20"/>
          <w:lang w:eastAsia="x-none"/>
        </w:rPr>
        <w:t>W RAMACH KR</w:t>
      </w:r>
      <w:r>
        <w:rPr>
          <w:rFonts w:cs="Arial"/>
          <w:b/>
          <w:sz w:val="24"/>
          <w:szCs w:val="20"/>
          <w:lang w:eastAsia="x-none"/>
        </w:rPr>
        <w:t>AJOWEGO FUNDUSZU SZKOLENIOWEGO W</w:t>
      </w:r>
      <w:r w:rsidR="00F22AA8" w:rsidRPr="00F22AA8">
        <w:rPr>
          <w:rFonts w:cs="Arial"/>
          <w:b/>
          <w:sz w:val="24"/>
          <w:szCs w:val="20"/>
          <w:lang w:eastAsia="x-none"/>
        </w:rPr>
        <w:t xml:space="preserve"> 202</w:t>
      </w:r>
      <w:r w:rsidR="0034366A">
        <w:rPr>
          <w:rFonts w:cs="Arial"/>
          <w:b/>
          <w:sz w:val="24"/>
          <w:szCs w:val="20"/>
          <w:lang w:eastAsia="x-none"/>
        </w:rPr>
        <w:t>5</w:t>
      </w:r>
      <w:r w:rsidR="00F22AA8" w:rsidRPr="00F22AA8">
        <w:rPr>
          <w:rFonts w:cs="Arial"/>
          <w:b/>
          <w:sz w:val="24"/>
          <w:szCs w:val="20"/>
          <w:lang w:eastAsia="x-none"/>
        </w:rPr>
        <w:t xml:space="preserve"> ROKU</w:t>
      </w:r>
    </w:p>
    <w:p w:rsid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cs="Arial"/>
          <w:b/>
          <w:sz w:val="20"/>
          <w:szCs w:val="20"/>
          <w:lang w:eastAsia="x-none"/>
        </w:rPr>
      </w:pPr>
    </w:p>
    <w:p w:rsidR="00F22AA8" w:rsidRPr="001A5A38" w:rsidRDefault="00F22AA8" w:rsidP="001A5A38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1A5A38">
        <w:rPr>
          <w:rFonts w:ascii="Times New Roman" w:hAnsi="Times New Roman" w:cs="Times New Roman"/>
          <w:color w:val="auto"/>
          <w:sz w:val="24"/>
          <w:szCs w:val="24"/>
        </w:rPr>
        <w:t xml:space="preserve">PRIORYTETY </w:t>
      </w:r>
    </w:p>
    <w:p w:rsidR="002A03D9" w:rsidRPr="000A01D3" w:rsidRDefault="002A03D9" w:rsidP="002A03D9">
      <w:pPr>
        <w:pStyle w:val="Akapitzlist"/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862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</w:p>
    <w:p w:rsidR="005E691E" w:rsidRPr="007302CF" w:rsidRDefault="005E691E" w:rsidP="001A5A38">
      <w:pPr>
        <w:pStyle w:val="Podtytu"/>
        <w:rPr>
          <w:highlight w:val="lightGray"/>
          <w:lang w:eastAsia="pl-PL"/>
        </w:rPr>
      </w:pPr>
      <w:r w:rsidRPr="002A03D9">
        <w:rPr>
          <w:highlight w:val="lightGray"/>
          <w:lang w:eastAsia="pl-PL"/>
        </w:rPr>
        <w:t xml:space="preserve">Priorytet </w:t>
      </w:r>
      <w:r w:rsidR="007302CF">
        <w:rPr>
          <w:highlight w:val="lightGray"/>
          <w:lang w:eastAsia="pl-PL"/>
        </w:rPr>
        <w:t>1</w:t>
      </w:r>
      <w:r w:rsidRPr="002A03D9">
        <w:rPr>
          <w:highlight w:val="lightGray"/>
          <w:lang w:eastAsia="pl-PL"/>
        </w:rPr>
        <w:t xml:space="preserve"> - </w:t>
      </w:r>
      <w:r w:rsidR="007302CF" w:rsidRPr="007302CF">
        <w:rPr>
          <w:highlight w:val="lightGray"/>
          <w:lang w:eastAsia="pl-PL"/>
        </w:rPr>
        <w:t>Wsparcie rozwoju umiejętności i kwal</w:t>
      </w:r>
      <w:r w:rsidR="007302CF">
        <w:rPr>
          <w:highlight w:val="lightGray"/>
          <w:lang w:eastAsia="pl-PL"/>
        </w:rPr>
        <w:t xml:space="preserve">ifikacji w zawodach określonych </w:t>
      </w:r>
      <w:r w:rsidR="007302CF" w:rsidRPr="007302CF">
        <w:rPr>
          <w:highlight w:val="lightGray"/>
          <w:lang w:eastAsia="pl-PL"/>
        </w:rPr>
        <w:t xml:space="preserve">jako </w:t>
      </w:r>
      <w:r w:rsidR="007302CF">
        <w:rPr>
          <w:highlight w:val="lightGray"/>
          <w:lang w:eastAsia="pl-PL"/>
        </w:rPr>
        <w:t xml:space="preserve">deficytowe </w:t>
      </w:r>
      <w:r w:rsidR="007302CF" w:rsidRPr="007302CF">
        <w:rPr>
          <w:highlight w:val="lightGray"/>
          <w:lang w:eastAsia="pl-PL"/>
        </w:rPr>
        <w:t>w powiecie limanowskim</w:t>
      </w:r>
      <w:r w:rsidR="007302CF">
        <w:rPr>
          <w:highlight w:val="lightGray"/>
          <w:lang w:eastAsia="pl-PL"/>
        </w:rPr>
        <w:t>.</w:t>
      </w:r>
    </w:p>
    <w:p w:rsidR="005E691E" w:rsidRPr="000A01D3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C95C77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0A01D3">
        <w:rPr>
          <w:rFonts w:ascii="Arial" w:hAnsi="Arial" w:cs="Arial"/>
          <w:sz w:val="20"/>
          <w:szCs w:val="20"/>
          <w:lang w:eastAsia="pl-PL"/>
        </w:rPr>
        <w:t>Przyjęte sformułowanie niniejszego priorytetu pozwala na sfinanso</w:t>
      </w:r>
      <w:r w:rsidR="00C95C77">
        <w:rPr>
          <w:rFonts w:ascii="Arial" w:hAnsi="Arial" w:cs="Arial"/>
          <w:sz w:val="20"/>
          <w:szCs w:val="20"/>
          <w:lang w:eastAsia="pl-PL"/>
        </w:rPr>
        <w:t>wanie kształcenia ustawicznego</w:t>
      </w:r>
    </w:p>
    <w:p w:rsidR="00C95C77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0A01D3">
        <w:rPr>
          <w:rFonts w:ascii="Arial" w:hAnsi="Arial" w:cs="Arial"/>
          <w:sz w:val="20"/>
          <w:szCs w:val="20"/>
          <w:lang w:eastAsia="pl-PL"/>
        </w:rPr>
        <w:t>w zakresie umiejętności ogólno-zawodowych, o ile powiąz</w:t>
      </w:r>
      <w:r w:rsidR="00C95C77">
        <w:rPr>
          <w:rFonts w:ascii="Arial" w:hAnsi="Arial" w:cs="Arial"/>
          <w:sz w:val="20"/>
          <w:szCs w:val="20"/>
          <w:lang w:eastAsia="pl-PL"/>
        </w:rPr>
        <w:t xml:space="preserve">ane są one z wykonywaniem pracy </w:t>
      </w:r>
    </w:p>
    <w:p w:rsidR="005E691E" w:rsidRPr="000A01D3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trike/>
          <w:color w:val="C00000"/>
          <w:sz w:val="20"/>
          <w:szCs w:val="20"/>
          <w:lang w:eastAsia="pl-PL"/>
        </w:rPr>
      </w:pPr>
      <w:r w:rsidRPr="000A01D3">
        <w:rPr>
          <w:rFonts w:ascii="Arial" w:hAnsi="Arial" w:cs="Arial"/>
          <w:sz w:val="20"/>
          <w:szCs w:val="20"/>
          <w:lang w:eastAsia="pl-PL"/>
        </w:rPr>
        <w:t>w zawodzie deficytowym. Wnioskodawca, który chce spełnić wymagania niniejszego priorytetu powinien udowodnić, że wskazana forma kształcenia ustawicznego dotyczy</w:t>
      </w:r>
      <w:r>
        <w:rPr>
          <w:rFonts w:ascii="Arial" w:hAnsi="Arial" w:cs="Arial"/>
          <w:sz w:val="20"/>
          <w:szCs w:val="20"/>
          <w:lang w:eastAsia="pl-PL"/>
        </w:rPr>
        <w:t xml:space="preserve"> zawodu deficytowego na terenie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</w:t>
      </w:r>
      <w:r w:rsidRPr="000A01D3">
        <w:rPr>
          <w:rFonts w:ascii="Arial" w:hAnsi="Arial" w:cs="Arial"/>
          <w:b/>
          <w:kern w:val="28"/>
          <w:sz w:val="20"/>
          <w:szCs w:val="20"/>
          <w:lang w:val="fr-FR" w:eastAsia="pl-PL"/>
        </w:rPr>
        <w:t>powiatu limanowskiego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.</w:t>
      </w:r>
      <w:r w:rsidRPr="000A01D3">
        <w:rPr>
          <w:rFonts w:ascii="Arial" w:hAnsi="Arial" w:cs="Arial"/>
          <w:strike/>
          <w:color w:val="C00000"/>
          <w:sz w:val="20"/>
          <w:szCs w:val="20"/>
          <w:lang w:eastAsia="pl-PL"/>
        </w:rPr>
        <w:t xml:space="preserve"> 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trike/>
          <w:color w:val="FF0000"/>
          <w:kern w:val="28"/>
          <w:sz w:val="20"/>
          <w:szCs w:val="20"/>
          <w:lang w:val="fr-FR" w:eastAsia="pl-PL"/>
        </w:rPr>
      </w:pP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>Oznacza to zawód zidentyfikowany jako deficytowy w oparciu o wyniki badania « Barometr Zawodów »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(</w:t>
      </w:r>
      <w:r>
        <w:rPr>
          <w:rFonts w:ascii="Arial" w:eastAsiaTheme="minorHAnsi" w:hAnsi="Arial" w:cs="Arial"/>
          <w:i/>
          <w:iCs/>
          <w:color w:val="0000FF"/>
          <w:sz w:val="18"/>
          <w:szCs w:val="18"/>
        </w:rPr>
        <w:t>www.barometrzawodow.pl)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, które są przedstawiane w </w:t>
      </w:r>
      <w:r w:rsidR="00C95C77">
        <w:rPr>
          <w:rFonts w:ascii="Arial" w:hAnsi="Arial" w:cs="Arial"/>
          <w:kern w:val="28"/>
          <w:sz w:val="20"/>
          <w:szCs w:val="20"/>
          <w:lang w:val="fr-FR" w:eastAsia="pl-PL"/>
        </w:rPr>
        <w:t>formie prognozy zapotrzebowania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>na pracowników w  202</w:t>
      </w:r>
      <w:r w:rsidR="007302CF">
        <w:rPr>
          <w:rFonts w:ascii="Arial" w:hAnsi="Arial" w:cs="Arial"/>
          <w:kern w:val="28"/>
          <w:sz w:val="20"/>
          <w:szCs w:val="20"/>
          <w:lang w:val="fr-FR" w:eastAsia="pl-PL"/>
        </w:rPr>
        <w:t>5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r. </w:t>
      </w:r>
      <w:r w:rsidRPr="00973E82">
        <w:rPr>
          <w:rFonts w:ascii="Arial" w:hAnsi="Arial" w:cs="Arial"/>
          <w:kern w:val="28"/>
          <w:sz w:val="20"/>
          <w:szCs w:val="20"/>
          <w:lang w:val="fr-FR" w:eastAsia="pl-PL"/>
        </w:rPr>
        <w:t>w powiecie limanowskim</w:t>
      </w:r>
      <w:r w:rsidRPr="007B66BD">
        <w:rPr>
          <w:rFonts w:ascii="Arial" w:hAnsi="Arial" w:cs="Arial"/>
          <w:b/>
          <w:kern w:val="28"/>
          <w:sz w:val="20"/>
          <w:szCs w:val="20"/>
          <w:lang w:val="fr-FR" w:eastAsia="pl-PL"/>
        </w:rPr>
        <w:t>.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>
        <w:rPr>
          <w:rFonts w:ascii="Arial" w:hAnsi="Arial" w:cs="Arial"/>
          <w:kern w:val="28"/>
          <w:sz w:val="20"/>
          <w:szCs w:val="20"/>
          <w:lang w:val="fr-FR" w:eastAsia="pl-PL"/>
        </w:rPr>
        <w:t>Zawody deficytowe w 202</w:t>
      </w:r>
      <w:r w:rsidR="007302CF">
        <w:rPr>
          <w:rFonts w:ascii="Arial" w:hAnsi="Arial" w:cs="Arial"/>
          <w:kern w:val="28"/>
          <w:sz w:val="20"/>
          <w:szCs w:val="20"/>
          <w:lang w:val="fr-FR" w:eastAsia="pl-PL"/>
        </w:rPr>
        <w:t>5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roku w </w:t>
      </w:r>
      <w:r w:rsidRPr="00973E82">
        <w:rPr>
          <w:rFonts w:ascii="Arial" w:hAnsi="Arial" w:cs="Arial"/>
          <w:b/>
          <w:kern w:val="28"/>
          <w:sz w:val="20"/>
          <w:szCs w:val="20"/>
          <w:lang w:val="fr-FR" w:eastAsia="pl-PL"/>
        </w:rPr>
        <w:t>powiecie limanowskim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 to :</w:t>
      </w:r>
    </w:p>
    <w:p w:rsidR="005E691E" w:rsidRDefault="0054596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>
        <w:rPr>
          <w:rFonts w:ascii="Arial" w:hAnsi="Arial" w:cs="Arial"/>
          <w:kern w:val="28"/>
          <w:sz w:val="20"/>
          <w:szCs w:val="20"/>
          <w:lang w:val="fr-FR" w:eastAsia="pl-PL"/>
        </w:rPr>
        <w:t>l</w:t>
      </w:r>
      <w:r w:rsidR="005E691E">
        <w:rPr>
          <w:rFonts w:ascii="Arial" w:hAnsi="Arial" w:cs="Arial"/>
          <w:kern w:val="28"/>
          <w:sz w:val="20"/>
          <w:szCs w:val="20"/>
          <w:lang w:val="fr-FR" w:eastAsia="pl-PL"/>
        </w:rPr>
        <w:t>ekarze;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psycholodzy i psychoterapeuci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elektrycy, elektromechanicy i elektromonterzy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fizjoterapeuci i masa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y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c</w:t>
      </w:r>
      <w:r>
        <w:rPr>
          <w:rFonts w:ascii="Arial" w:hAnsi="Arial" w:cs="Arial"/>
          <w:kern w:val="28"/>
          <w:sz w:val="20"/>
          <w:szCs w:val="20"/>
          <w:lang w:eastAsia="pl-PL"/>
        </w:rPr>
        <w:t>i;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in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ynierowie budownictwa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kierowcy autobus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w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krawcy i pracownicy produkcji odzie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y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kucharze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logopedzi i audiofonolodzy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mechanicy pojazd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w samochodowych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monterzy instalacji budowlanych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nauczyciele przedmiot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w zawodowych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nauczyciele przedszkoli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nauczyciele szk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ół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 xml:space="preserve"> specjalnych i oddzia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łó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w integracyjnych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operatorzy i mechanicy sprz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tu do rob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t ziemnych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piekarze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pracownicy ds. rachunkowo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ci i ksi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gowo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ci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pracownicy s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ł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u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b mundurowych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pracownicy socjalni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przetw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rcy mi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sa i ryb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robotnicy budowlani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robotnicy le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ni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robotnicy obr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bki drewna i stolarze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samodzielni ksi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gowi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spawacze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szefowie kuchni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wychowawcy w plac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wkach o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wiatowych i opieku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ń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czych</w:t>
      </w:r>
      <w:r>
        <w:rPr>
          <w:rFonts w:ascii="Arial" w:hAnsi="Arial" w:cs="Arial"/>
          <w:kern w:val="28"/>
          <w:sz w:val="20"/>
          <w:szCs w:val="20"/>
          <w:lang w:eastAsia="pl-PL"/>
        </w:rPr>
        <w:t>.</w:t>
      </w:r>
    </w:p>
    <w:p w:rsidR="007302CF" w:rsidRDefault="007302CF" w:rsidP="00C75C9F">
      <w:pPr>
        <w:tabs>
          <w:tab w:val="left" w:pos="426"/>
        </w:tabs>
        <w:spacing w:after="0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</w:p>
    <w:p w:rsidR="007302CF" w:rsidRDefault="007302CF" w:rsidP="001A5A38">
      <w:pPr>
        <w:tabs>
          <w:tab w:val="left" w:pos="426"/>
        </w:tabs>
        <w:spacing w:before="480" w:after="0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</w:p>
    <w:p w:rsidR="007302CF" w:rsidRPr="00C75C9F" w:rsidRDefault="007302CF" w:rsidP="001A5A38">
      <w:pPr>
        <w:pStyle w:val="Podtytu"/>
        <w:rPr>
          <w:highlight w:val="lightGray"/>
        </w:rPr>
      </w:pPr>
      <w:r w:rsidRPr="002A03D9">
        <w:rPr>
          <w:highlight w:val="lightGray"/>
        </w:rPr>
        <w:lastRenderedPageBreak/>
        <w:t xml:space="preserve">Priorytet </w:t>
      </w:r>
      <w:r w:rsidR="00C75C9F">
        <w:rPr>
          <w:highlight w:val="lightGray"/>
        </w:rPr>
        <w:t>2</w:t>
      </w:r>
      <w:r w:rsidRPr="002A03D9">
        <w:rPr>
          <w:highlight w:val="lightGray"/>
        </w:rPr>
        <w:t xml:space="preserve"> - </w:t>
      </w:r>
      <w:r w:rsidR="00C75C9F" w:rsidRPr="00C75C9F">
        <w:rPr>
          <w:highlight w:val="lightGray"/>
        </w:rPr>
        <w:t>Wsparcie rozwoju umiejętn</w:t>
      </w:r>
      <w:r w:rsidR="00C75C9F">
        <w:rPr>
          <w:highlight w:val="lightGray"/>
        </w:rPr>
        <w:t xml:space="preserve">ości i kwalifikacji w związku z </w:t>
      </w:r>
      <w:r w:rsidR="00C75C9F" w:rsidRPr="00C75C9F">
        <w:rPr>
          <w:highlight w:val="lightGray"/>
        </w:rPr>
        <w:t>zastosowaniem w firmach nowych procesów, technologii i narzędzi pracy.</w:t>
      </w:r>
    </w:p>
    <w:p w:rsidR="007302CF" w:rsidRPr="000A01D3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7302CF" w:rsidRPr="000A01D3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>Należy pamiętać, że przez „nowe procesy, technologie czy narzędzia pracy” w niniejszym priorytecie należy rozumieć procesy, technologie, maszyny czy rozwiązania nowe dla wnioskodawcy a nie dla całego rynku. Przykładowo maszyna istniejąca na rynku od bardzo wielu lat ale, niewykorzystywana do tej pory w firmie wnioskodawcy jest w jego przypadku „nową technologią czy narzędziem pracy”.</w:t>
      </w:r>
    </w:p>
    <w:p w:rsidR="00C95C77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>Wnioskodawca, który chce spełnić wymagania priorytetu powinien udowodnić, że w ciągu jednego roku przed złożeniem wniosku bądź w ciągu trzech miesięcy po jego złożeniu zostały/zostaną zakupione nowe maszyny  i narzędzia, bądź będą wdrożone nowe procesy, technologie i systemy,</w:t>
      </w:r>
    </w:p>
    <w:p w:rsidR="00C95C77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>a osoby objęte kształceniem ustawicznym będą wykonywać nowe zadania związane</w:t>
      </w:r>
      <w:r w:rsidR="00C95C77">
        <w:rPr>
          <w:rFonts w:ascii="Arial" w:hAnsi="Arial" w:cs="Arial"/>
          <w:sz w:val="20"/>
          <w:szCs w:val="20"/>
        </w:rPr>
        <w:t xml:space="preserve"> </w:t>
      </w:r>
    </w:p>
    <w:p w:rsid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 xml:space="preserve">z wprowadzonymi/ planowanymi do wprowadzenia zmianami. </w:t>
      </w:r>
    </w:p>
    <w:p w:rsidR="00C95C77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>Wsparciem kształcenia ustawicznego w ramach priorytetu można objąć jedynie osobę, która w ramach wykonywania swoich zadań zawodowych/ na stanowisku pracy</w:t>
      </w:r>
      <w:r w:rsidR="00C95C77">
        <w:rPr>
          <w:rFonts w:ascii="Arial" w:hAnsi="Arial" w:cs="Arial"/>
          <w:sz w:val="20"/>
          <w:szCs w:val="20"/>
        </w:rPr>
        <w:t xml:space="preserve"> korzysta lub będzie korzystała</w:t>
      </w:r>
    </w:p>
    <w:p w:rsid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>z nowych technologii i narzędzi pracy lub wdrażała nowe procesy.</w:t>
      </w:r>
    </w:p>
    <w:p w:rsidR="007302CF" w:rsidRPr="000A01D3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7302CF" w:rsidRPr="00412D90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BF2146">
        <w:rPr>
          <w:rFonts w:ascii="Arial" w:hAnsi="Arial" w:cs="Arial"/>
          <w:b/>
          <w:bCs/>
          <w:sz w:val="20"/>
          <w:szCs w:val="20"/>
          <w:lang w:eastAsia="pl-PL"/>
        </w:rPr>
        <w:t xml:space="preserve">UWAGA! </w:t>
      </w:r>
      <w:r w:rsidRPr="00BF2146">
        <w:rPr>
          <w:rFonts w:ascii="Arial" w:hAnsi="Arial" w:cs="Arial"/>
          <w:sz w:val="20"/>
          <w:szCs w:val="20"/>
          <w:lang w:eastAsia="pl-PL"/>
        </w:rPr>
        <w:t xml:space="preserve">Pracodawca do wniosku dołącza oświadczenie </w:t>
      </w:r>
      <w:r>
        <w:rPr>
          <w:rFonts w:ascii="Arial" w:hAnsi="Arial" w:cs="Arial"/>
          <w:sz w:val="20"/>
          <w:szCs w:val="20"/>
          <w:lang w:eastAsia="pl-PL"/>
        </w:rPr>
        <w:t>oraz dołączą</w:t>
      </w:r>
      <w:r w:rsidRPr="00412D90">
        <w:rPr>
          <w:rFonts w:ascii="Arial" w:hAnsi="Arial" w:cs="Arial"/>
          <w:sz w:val="20"/>
          <w:szCs w:val="20"/>
          <w:lang w:eastAsia="pl-PL"/>
        </w:rPr>
        <w:t xml:space="preserve"> kopię dokumentu potwierdzającego spełnianie wymogu tego priorytetu, np. dokument zakupu maszyny, narzędzi etc.</w:t>
      </w:r>
    </w:p>
    <w:p w:rsidR="007302CF" w:rsidRDefault="007302CF" w:rsidP="007302CF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E691E" w:rsidRDefault="005E691E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4596E" w:rsidRPr="001A5A38" w:rsidRDefault="0054596E" w:rsidP="001A5A38">
      <w:pPr>
        <w:pStyle w:val="Podtytu"/>
        <w:rPr>
          <w:highlight w:val="lightGray"/>
        </w:rPr>
      </w:pPr>
      <w:r w:rsidRPr="002A03D9">
        <w:rPr>
          <w:highlight w:val="lightGray"/>
        </w:rPr>
        <w:t xml:space="preserve">Priorytet </w:t>
      </w:r>
      <w:r>
        <w:rPr>
          <w:highlight w:val="lightGray"/>
        </w:rPr>
        <w:t>3</w:t>
      </w:r>
      <w:r w:rsidRPr="002A03D9">
        <w:rPr>
          <w:highlight w:val="lightGray"/>
        </w:rPr>
        <w:t xml:space="preserve"> - </w:t>
      </w:r>
      <w:r w:rsidR="00C75C9F" w:rsidRPr="00C75C9F">
        <w:rPr>
          <w:highlight w:val="lightGray"/>
        </w:rPr>
        <w:t>Wsparcie kształcenia ustawiczneg</w:t>
      </w:r>
      <w:r w:rsidR="00C75C9F">
        <w:rPr>
          <w:highlight w:val="lightGray"/>
        </w:rPr>
        <w:t xml:space="preserve">o pracodawców i ich pracowników </w:t>
      </w:r>
      <w:r w:rsidR="00C95C77">
        <w:rPr>
          <w:highlight w:val="lightGray"/>
        </w:rPr>
        <w:t xml:space="preserve">zgodnie </w:t>
      </w:r>
      <w:r w:rsidR="00C75C9F" w:rsidRPr="00C75C9F">
        <w:rPr>
          <w:highlight w:val="lightGray"/>
        </w:rPr>
        <w:t>z potrzebami szkoleniowymi, które pojawiły si</w:t>
      </w:r>
      <w:r w:rsidR="00C75C9F">
        <w:rPr>
          <w:highlight w:val="lightGray"/>
        </w:rPr>
        <w:t xml:space="preserve">ę na terenach dotkniętych przez </w:t>
      </w:r>
      <w:r w:rsidR="00C75C9F" w:rsidRPr="00C75C9F">
        <w:rPr>
          <w:highlight w:val="lightGray"/>
        </w:rPr>
        <w:t>powódź we wrześniu 2024 roku</w:t>
      </w:r>
      <w:r w:rsidR="00A35D7C">
        <w:rPr>
          <w:highlight w:val="lightGray"/>
        </w:rPr>
        <w:t>.</w:t>
      </w:r>
      <w:r w:rsidRPr="0054596E">
        <w:rPr>
          <w:highlight w:val="lightGray"/>
        </w:rPr>
        <w:t xml:space="preserve"> </w:t>
      </w:r>
      <w:r w:rsidRPr="000A01D3">
        <w:t xml:space="preserve"> </w:t>
      </w:r>
    </w:p>
    <w:p w:rsidR="00C95C77" w:rsidRDefault="00C75C9F" w:rsidP="00C95C77">
      <w:pPr>
        <w:tabs>
          <w:tab w:val="left" w:pos="285"/>
          <w:tab w:val="left" w:pos="426"/>
        </w:tabs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Arial" w:eastAsiaTheme="minorHAnsi" w:hAnsi="Arial" w:cs="Arial"/>
          <w:sz w:val="20"/>
          <w:szCs w:val="20"/>
        </w:rPr>
        <w:t>Priorytet powyższy oferuje wsparcie pracodawcom prowadzącym działalność na terenach,</w:t>
      </w:r>
      <w:r>
        <w:rPr>
          <w:rFonts w:ascii="Arial" w:eastAsiaTheme="minorHAnsi" w:hAnsi="Arial" w:cs="Arial"/>
          <w:sz w:val="20"/>
          <w:szCs w:val="20"/>
        </w:rPr>
        <w:t xml:space="preserve"> na </w:t>
      </w:r>
      <w:r w:rsidRPr="00C75C9F">
        <w:rPr>
          <w:rFonts w:ascii="Arial" w:eastAsiaTheme="minorHAnsi" w:hAnsi="Arial" w:cs="Arial"/>
          <w:sz w:val="20"/>
          <w:szCs w:val="20"/>
        </w:rPr>
        <w:t>których obowiązuje rozporządzenie Rady Ministrów z 16 września 2024 roku w sprawie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C95C77">
        <w:rPr>
          <w:rFonts w:ascii="Arial" w:eastAsiaTheme="minorHAnsi" w:hAnsi="Arial" w:cs="Arial"/>
          <w:sz w:val="20"/>
          <w:szCs w:val="20"/>
        </w:rPr>
        <w:t>wykazu gmin,</w:t>
      </w:r>
    </w:p>
    <w:p w:rsidR="00C75C9F" w:rsidRPr="00C75C9F" w:rsidRDefault="00C75C9F" w:rsidP="00C95C77">
      <w:pPr>
        <w:tabs>
          <w:tab w:val="left" w:pos="285"/>
          <w:tab w:val="left" w:pos="426"/>
        </w:tabs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Arial" w:eastAsiaTheme="minorHAnsi" w:hAnsi="Arial" w:cs="Arial"/>
          <w:sz w:val="20"/>
          <w:szCs w:val="20"/>
        </w:rPr>
        <w:t>w których są stosowane szczególne rozwiązania związane z usuwaniem</w:t>
      </w:r>
      <w:r>
        <w:rPr>
          <w:rFonts w:ascii="Arial" w:eastAsiaTheme="minorHAnsi" w:hAnsi="Arial" w:cs="Arial"/>
          <w:sz w:val="20"/>
          <w:szCs w:val="20"/>
        </w:rPr>
        <w:t xml:space="preserve"> skutków powodzi z </w:t>
      </w:r>
      <w:r w:rsidRPr="00C75C9F">
        <w:rPr>
          <w:rFonts w:ascii="Arial" w:eastAsiaTheme="minorHAnsi" w:hAnsi="Arial" w:cs="Arial"/>
          <w:sz w:val="20"/>
          <w:szCs w:val="20"/>
        </w:rPr>
        <w:t>września 2024 r., oraz rozwiązań stosowanych na ich terenie (Dz. U. 2024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poz. 1371).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Arial" w:eastAsiaTheme="minorHAnsi" w:hAnsi="Arial" w:cs="Arial"/>
          <w:sz w:val="20"/>
          <w:szCs w:val="20"/>
        </w:rPr>
        <w:t>Przywołane rozporządzenie dotyczy następujących gmin: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Arial" w:eastAsiaTheme="minorHAnsi" w:hAnsi="Arial" w:cs="Arial"/>
          <w:sz w:val="20"/>
          <w:szCs w:val="20"/>
        </w:rPr>
        <w:t>1) w województwie dolnośląskim: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wszystkie gminy położone na terenie powiatów bolesławieckiego,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dzierżoniowskiego, jaworskiego, kamiennogórskiego, karkonoskiego,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kłodzkiego, legnickiego, lubańskiego, lwóweckiego, średzkiego, świdnickiego,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wałbrzyskiego, wołowskiego, ząbkowickiego, zgorzeleckiego i złotoryjskiego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oraz miasta na prawach powiatu Jelenia Góra, Legnica i Wałbrzych,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głogowskim - gmina miejska Głogów, gmina wiejska Głogów, gmina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Kotla, gmina Pęcław i gmina Żukowice,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górowskim - gmina Jemielno,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lubińskim - miasto i gmina Ścinawa,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oławskim - gmina miejska Oława i gmina wiejska Oława,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strzelińskim - gmina Strzelin,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wrocławskim - gmina Kąty Wr</w:t>
      </w:r>
      <w:r>
        <w:rPr>
          <w:rFonts w:ascii="Arial" w:eastAsiaTheme="minorHAnsi" w:hAnsi="Arial" w:cs="Arial"/>
          <w:sz w:val="20"/>
          <w:szCs w:val="20"/>
        </w:rPr>
        <w:t xml:space="preserve">ocławskie, gmina Mietków i gmina </w:t>
      </w:r>
      <w:r w:rsidRPr="00C75C9F">
        <w:rPr>
          <w:rFonts w:ascii="Arial" w:eastAsiaTheme="minorHAnsi" w:hAnsi="Arial" w:cs="Arial"/>
          <w:sz w:val="20"/>
          <w:szCs w:val="20"/>
        </w:rPr>
        <w:t>Sobótka;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Arial" w:eastAsiaTheme="minorHAnsi" w:hAnsi="Arial" w:cs="Arial"/>
          <w:sz w:val="20"/>
          <w:szCs w:val="20"/>
        </w:rPr>
        <w:t>2) w województwie lubuskim: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krośnieńskim - gmina Dąbie i gmina Krosno Odrzańskie,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nowosolskim - gmina Bytom Odrzański, gmina Kolsko, gmina miejska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Nowa Sól, gmina wiejska Nowa Sól, gmina Otyń i gmina Siedlisko,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słubickim - gmina Cybinka i gmina Słubice,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wschowskim - gmina Szlichtyngowa,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zielonogórskim - gmina Bojadła, gmina Czerwieńsk, gmina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Nowogród Bobrzański, gmina Sulechów, gmina Trzebiechów i gmina Zabór,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żagańskim - gmina miejsko-wiejska Szprotawa i gmina wiejska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Żagań oraz miasto Małomice i miasto Żagań;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Arial" w:eastAsiaTheme="minorHAnsi" w:hAnsi="Arial" w:cs="Arial"/>
          <w:sz w:val="20"/>
          <w:szCs w:val="20"/>
        </w:rPr>
        <w:t>3) w województwie opolskim - wszystkie gminy położone na terenie powiatów brzeskiego,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Arial" w:eastAsiaTheme="minorHAnsi" w:hAnsi="Arial" w:cs="Arial"/>
          <w:sz w:val="20"/>
          <w:szCs w:val="20"/>
        </w:rPr>
        <w:t>głubczyckiego, kędzierzyńsko-kozielskiego, krapkowickiego, nyskiego, opolskiego i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prudnickiego;</w:t>
      </w:r>
    </w:p>
    <w:p w:rsidR="0054596E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Arial" w:eastAsiaTheme="minorHAnsi" w:hAnsi="Arial" w:cs="Arial"/>
          <w:sz w:val="20"/>
          <w:szCs w:val="20"/>
        </w:rPr>
        <w:lastRenderedPageBreak/>
        <w:t>4) w województwie śląskim - wszystkie gminy położone na terenie powiatów bielskiego,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cieszyńskiego, pszczyńskiego i raciborskiego oraz miasto na prawach powiatu Bielsko-Biała.</w:t>
      </w:r>
    </w:p>
    <w:p w:rsidR="006E7494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C75C9F">
        <w:rPr>
          <w:rFonts w:ascii="Arial" w:hAnsi="Arial" w:cs="Arial"/>
          <w:sz w:val="20"/>
          <w:szCs w:val="20"/>
          <w:lang w:eastAsia="x-none"/>
        </w:rPr>
        <w:t>Warunkiem skorzystania ze środków priorytetu jest prow</w:t>
      </w:r>
      <w:r>
        <w:rPr>
          <w:rFonts w:ascii="Arial" w:hAnsi="Arial" w:cs="Arial"/>
          <w:sz w:val="20"/>
          <w:szCs w:val="20"/>
          <w:lang w:eastAsia="x-none"/>
        </w:rPr>
        <w:t xml:space="preserve">adzenie działalności na terenie </w:t>
      </w:r>
      <w:r w:rsidRPr="00C75C9F">
        <w:rPr>
          <w:rFonts w:ascii="Arial" w:hAnsi="Arial" w:cs="Arial"/>
          <w:sz w:val="20"/>
          <w:szCs w:val="20"/>
          <w:lang w:eastAsia="x-none"/>
        </w:rPr>
        <w:t>którejkolwiek z gmin z wykazu oraz oświadczenie pracodawc</w:t>
      </w:r>
      <w:r>
        <w:rPr>
          <w:rFonts w:ascii="Arial" w:hAnsi="Arial" w:cs="Arial"/>
          <w:sz w:val="20"/>
          <w:szCs w:val="20"/>
          <w:lang w:eastAsia="x-none"/>
        </w:rPr>
        <w:t xml:space="preserve">y o konieczności nabycia nowych </w:t>
      </w:r>
      <w:r w:rsidRPr="00C75C9F">
        <w:rPr>
          <w:rFonts w:ascii="Arial" w:hAnsi="Arial" w:cs="Arial"/>
          <w:sz w:val="20"/>
          <w:szCs w:val="20"/>
          <w:lang w:eastAsia="x-none"/>
        </w:rPr>
        <w:t>umiejętności czy kwalifikacji w związku z rozszerzeni</w:t>
      </w:r>
      <w:r>
        <w:rPr>
          <w:rFonts w:ascii="Arial" w:hAnsi="Arial" w:cs="Arial"/>
          <w:sz w:val="20"/>
          <w:szCs w:val="20"/>
          <w:lang w:eastAsia="x-none"/>
        </w:rPr>
        <w:t xml:space="preserve">em/ przekwalifikowaniem obszaru </w:t>
      </w:r>
      <w:r w:rsidRPr="00C75C9F">
        <w:rPr>
          <w:rFonts w:ascii="Arial" w:hAnsi="Arial" w:cs="Arial"/>
          <w:sz w:val="20"/>
          <w:szCs w:val="20"/>
          <w:lang w:eastAsia="x-none"/>
        </w:rPr>
        <w:t>działalności firmy z powołaniem się na odpowiedni przepis.</w:t>
      </w:r>
    </w:p>
    <w:p w:rsidR="00C75C9F" w:rsidRDefault="00C75C9F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C75C9F" w:rsidRDefault="00C75C9F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320BD" w:rsidRPr="00155316" w:rsidRDefault="005320BD" w:rsidP="001A5A38">
      <w:pPr>
        <w:pStyle w:val="Podtytu"/>
        <w:rPr>
          <w:rFonts w:eastAsia="Times New Roman"/>
          <w:highlight w:val="lightGray"/>
          <w:lang w:eastAsia="pl-PL"/>
        </w:rPr>
      </w:pPr>
      <w:r w:rsidRPr="002A03D9">
        <w:rPr>
          <w:rFonts w:eastAsia="Times New Roman"/>
          <w:highlight w:val="lightGray"/>
          <w:lang w:eastAsia="pl-PL"/>
        </w:rPr>
        <w:t xml:space="preserve">Priorytet </w:t>
      </w:r>
      <w:r>
        <w:rPr>
          <w:rFonts w:eastAsia="Times New Roman"/>
          <w:highlight w:val="lightGray"/>
          <w:lang w:eastAsia="pl-PL"/>
        </w:rPr>
        <w:t>4</w:t>
      </w:r>
      <w:r w:rsidRPr="002A03D9">
        <w:rPr>
          <w:rFonts w:eastAsia="Times New Roman"/>
          <w:highlight w:val="lightGray"/>
          <w:lang w:eastAsia="pl-PL"/>
        </w:rPr>
        <w:t xml:space="preserve"> - </w:t>
      </w:r>
      <w:r w:rsidR="00155316" w:rsidRPr="00155316">
        <w:rPr>
          <w:rFonts w:eastAsia="Times New Roman"/>
          <w:highlight w:val="lightGray"/>
          <w:lang w:eastAsia="pl-PL"/>
        </w:rPr>
        <w:t>Poprawa zarządzania i komunika</w:t>
      </w:r>
      <w:r w:rsidR="00155316">
        <w:rPr>
          <w:rFonts w:eastAsia="Times New Roman"/>
          <w:highlight w:val="lightGray"/>
          <w:lang w:eastAsia="pl-PL"/>
        </w:rPr>
        <w:t xml:space="preserve">cji w firmie w oparciu o zasady </w:t>
      </w:r>
      <w:r w:rsidR="00155316" w:rsidRPr="00155316">
        <w:rPr>
          <w:rFonts w:eastAsia="Times New Roman"/>
          <w:highlight w:val="lightGray"/>
          <w:lang w:eastAsia="pl-PL"/>
        </w:rPr>
        <w:t>przeciwdziałania dyskryminacji i mobbingowi, rozwoju dialogu społecznego,</w:t>
      </w:r>
      <w:r w:rsidR="00155316">
        <w:rPr>
          <w:rFonts w:eastAsia="Times New Roman"/>
          <w:highlight w:val="lightGray"/>
          <w:lang w:eastAsia="pl-PL"/>
        </w:rPr>
        <w:t xml:space="preserve"> </w:t>
      </w:r>
      <w:r w:rsidR="00C95C77">
        <w:rPr>
          <w:rFonts w:eastAsia="Times New Roman"/>
          <w:highlight w:val="lightGray"/>
          <w:lang w:eastAsia="pl-PL"/>
        </w:rPr>
        <w:t xml:space="preserve">partycypacji pracowniczej </w:t>
      </w:r>
      <w:r w:rsidR="00155316" w:rsidRPr="00155316">
        <w:rPr>
          <w:rFonts w:eastAsia="Times New Roman"/>
          <w:highlight w:val="lightGray"/>
          <w:lang w:eastAsia="pl-PL"/>
        </w:rPr>
        <w:t>i wspierania integracji w miejscu pracy</w:t>
      </w:r>
      <w:r>
        <w:rPr>
          <w:rFonts w:eastAsia="Times New Roman"/>
          <w:lang w:eastAsia="pl-PL"/>
        </w:rPr>
        <w:t>.</w:t>
      </w:r>
    </w:p>
    <w:p w:rsidR="005320BD" w:rsidRPr="000A01D3" w:rsidRDefault="005320BD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Mobbing i dyskryminacja to jedno z najpoważniejszych zagrożeń spotykanych w wielu firmach.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Dlatego kreowanie bezpiecznego i wspierającego środowiska pracy jest kluczową rolą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pracodawców, sprzyja efektywności pracowników. Dlatego też dialog społeczny stanowi bardzo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ważną funkcję w zapobieganiu tym zjawiskom. Poprzez współpracę między pracodawcami,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pracownikami i związkami zawodowymi możliwe jest wykształcenie umiejętności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identyfikowania oraz reagowania na mobbing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i dyskryminację na każdym szczeblu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organizacyjnym, co przyczynia się do budowania kultur organizacyjnych opartych na szacunku 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równości.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Szkolenia powinny zatem zawierać tematykę, w ramach której pracodawcy i pracownicy zostaną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wyposażeni w wiedzę i umiejętności m.in.: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bCs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rozpoznawania, rozumienia i przeciwdziałania mobbingowi w miejscu pracy, co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zwiększy ich uważność na sposób komunikacji i budowania relacji w ich zespołach,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bCs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dotyczące różnych formy mobbingu, jak zrozumieć jego wpływ na zespół oraz jak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skutecznie reagować i zapobiegać sytuacjom o charakterze mobbingu w przyszłości,</w:t>
      </w:r>
    </w:p>
    <w:p w:rsidR="00C95C77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bCs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rozpoznawania/uważności (szczególnie menedżerowie/pracodawcy) na zachowania 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relacje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zespołach,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bCs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promowania bezpiecznego i wspierającego środowiska pracy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bCs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temat skutków społecznych i prawnych mobbingu lub dyskryminacji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bCs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dotyczące wdrażania procedur przeciwdzi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ałania i reagowania na przypadki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nieprawidłowości.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Szkolenia tego typu mają na celu wzmocnienie umiejętności zarządzania, poprawę komunikacji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wewnętrznej oraz stworzenie środowiska opartego na równości, integracji i zaangażowaniu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pracowników. Realizacja tych celów wpływa na budowanie kultury organizacyjnej, która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sprzyja efektywności i zadowoleniu zespołu.</w:t>
      </w:r>
    </w:p>
    <w:p w:rsidR="00C95C77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Priorytet ten ma również zachęcać do tworzenia i oferuje wsparcie w zakresie zasad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funkcjonowania i działania rad pracowniczych – na poziomie unijnym i poszczególnych krajów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UE. Ma pomóc znaleźć odpowiedź na pytanie jak promować reprezentację pracowniczą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C95C7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postaci rad pracowniczych 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w Polsce. W obliczu wymogu prawnego (ustawa z dnia 7 kwietnia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2006 r</w:t>
      </w:r>
      <w:r w:rsidRPr="0015531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. o informowaniu pracowników i przeprowadzaniu z nimi konsultacji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(Dz.U. nr 79, poz. 550)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powołania Rady Pracowników przez pracodawców zatrudniających co najmniej 50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pracowników lub na wniosek co najmniej 10% załogi, staje się jasne, jak kluczowe jest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prawidłowe funkcjonowanie tych organów.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Rady Pracowników pełnią istotną rolę w zapewnianiu płynności komunikacji pomiędzy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pracownikami a pracodawcą, szczególnie w przypadkach, gdzie związki zawodowe nie są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obecne.</w:t>
      </w:r>
    </w:p>
    <w:p w:rsidR="00C95C77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Priorytet adresowany do wszystkich zainteresowanych pracodawców. Nie ma znaczenia kod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PKD czy profil działalności. Zachęca do tworzenia i oferuje wsparcie w zakresie zasad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funkcjonowania</w:t>
      </w:r>
      <w:r w:rsidR="00C95C7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5320BD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i działania rad pracowniczych – na poziomie unijnym i poszczególnych krajów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UE.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</w:pPr>
    </w:p>
    <w:p w:rsidR="0065349D" w:rsidRPr="00155316" w:rsidRDefault="0065349D" w:rsidP="001A5A38">
      <w:pPr>
        <w:pStyle w:val="Podtytu"/>
        <w:rPr>
          <w:rFonts w:eastAsia="Times New Roman"/>
          <w:highlight w:val="lightGray"/>
          <w:lang w:eastAsia="pl-PL"/>
        </w:rPr>
      </w:pPr>
      <w:r w:rsidRPr="005320BD">
        <w:rPr>
          <w:rFonts w:eastAsia="Times New Roman"/>
          <w:highlight w:val="lightGray"/>
          <w:lang w:eastAsia="pl-PL"/>
        </w:rPr>
        <w:t xml:space="preserve">Priorytet </w:t>
      </w:r>
      <w:r>
        <w:rPr>
          <w:rFonts w:eastAsia="Times New Roman"/>
          <w:highlight w:val="lightGray"/>
          <w:lang w:eastAsia="pl-PL"/>
        </w:rPr>
        <w:t>5</w:t>
      </w:r>
      <w:r w:rsidRPr="005320BD">
        <w:rPr>
          <w:rFonts w:eastAsia="Times New Roman"/>
          <w:highlight w:val="lightGray"/>
          <w:lang w:eastAsia="pl-PL"/>
        </w:rPr>
        <w:t xml:space="preserve"> - </w:t>
      </w:r>
      <w:r w:rsidR="00155316" w:rsidRPr="00155316">
        <w:rPr>
          <w:rFonts w:eastAsia="Times New Roman"/>
          <w:highlight w:val="lightGray"/>
          <w:lang w:eastAsia="pl-PL"/>
        </w:rPr>
        <w:t>Promowanie i wspieranie zdro</w:t>
      </w:r>
      <w:r w:rsidR="00155316">
        <w:rPr>
          <w:rFonts w:eastAsia="Times New Roman"/>
          <w:highlight w:val="lightGray"/>
          <w:lang w:eastAsia="pl-PL"/>
        </w:rPr>
        <w:t xml:space="preserve">wia psychicznego oraz tworzenie </w:t>
      </w:r>
      <w:r w:rsidR="00155316" w:rsidRPr="00155316">
        <w:rPr>
          <w:rFonts w:eastAsia="Times New Roman"/>
          <w:highlight w:val="lightGray"/>
          <w:lang w:eastAsia="pl-PL"/>
        </w:rPr>
        <w:t>przyjaznych środowisk pracy poprzez m.in. szkolenia z zakresu zarządzania wiekiem,</w:t>
      </w:r>
      <w:r w:rsidR="00155316">
        <w:rPr>
          <w:rFonts w:eastAsia="Times New Roman"/>
          <w:highlight w:val="lightGray"/>
          <w:lang w:eastAsia="pl-PL"/>
        </w:rPr>
        <w:t xml:space="preserve"> </w:t>
      </w:r>
      <w:r w:rsidR="00155316" w:rsidRPr="00155316">
        <w:rPr>
          <w:rFonts w:eastAsia="Times New Roman"/>
          <w:highlight w:val="lightGray"/>
          <w:lang w:eastAsia="pl-PL"/>
        </w:rPr>
        <w:t>radzenia sobie ze stresem, pozytywnej psycholog</w:t>
      </w:r>
      <w:r w:rsidR="00155316">
        <w:rPr>
          <w:rFonts w:eastAsia="Times New Roman"/>
          <w:highlight w:val="lightGray"/>
          <w:lang w:eastAsia="pl-PL"/>
        </w:rPr>
        <w:t xml:space="preserve">ii, dobrostanu psychicznego oraz </w:t>
      </w:r>
      <w:r w:rsidR="00C95C77">
        <w:rPr>
          <w:rFonts w:eastAsia="Times New Roman"/>
          <w:highlight w:val="lightGray"/>
          <w:lang w:eastAsia="pl-PL"/>
        </w:rPr>
        <w:t xml:space="preserve">budowania zdrowej </w:t>
      </w:r>
      <w:r w:rsidR="00155316" w:rsidRPr="00155316">
        <w:rPr>
          <w:rFonts w:eastAsia="Times New Roman"/>
          <w:highlight w:val="lightGray"/>
          <w:lang w:eastAsia="pl-PL"/>
        </w:rPr>
        <w:t>i różnorodnej kultury organizacyjnej</w:t>
      </w:r>
      <w:r w:rsidRPr="005320BD">
        <w:rPr>
          <w:rFonts w:eastAsia="Times New Roman"/>
          <w:highlight w:val="lightGray"/>
          <w:lang w:eastAsia="pl-PL"/>
        </w:rPr>
        <w:t>.</w:t>
      </w:r>
    </w:p>
    <w:p w:rsidR="0065349D" w:rsidRPr="005320B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sz w:val="20"/>
          <w:szCs w:val="20"/>
          <w:lang w:eastAsia="pl-PL"/>
        </w:rPr>
        <w:t>Zdrowie psychiczne jest tak samo ważne, jak zdrowie fizyczne.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Oba te aspekty życia wzajemnie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się dopełniają. Kiedy nasze zdrowie jest w równowadze, mo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żemy sprawnie działać, aktywnie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pracować, uczyć się i funkcjonować. Zaburzenia i choroby zdrowia psychiczn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ego znacznie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utrudniają prowadzenie satysfakcjonującego życia również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 zawodowego i to bez względu na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wiek. W Polsce oficjalne dane mówią o tym, że na depresję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 choruje 1,5 miliona osób. Brak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świadomości problemu oraz stygmatyzacja osób dotkniętych chorobami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 i zaburzeniami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psychicznymi może zaburzać te statystyki i w rzeczywis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tości chorujących osób może być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znacznie więcej.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sz w:val="20"/>
          <w:szCs w:val="20"/>
          <w:lang w:eastAsia="pl-PL"/>
        </w:rPr>
        <w:t>Zadbanie o swój dobrostan (i swoich pracowników), zap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obieganie wypaleniu zawodowemu,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rozładowywanie nadmiernych napięć pozwala minimalizo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wać rozwinięcie choroby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psychicznej, dlatego tak ważna jest higiena zdrowia psychicznego, którą należy utrzymywać na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co dzień.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sz w:val="20"/>
          <w:szCs w:val="20"/>
          <w:lang w:eastAsia="pl-PL"/>
        </w:rPr>
        <w:t>Priorytet adresowany do wszystkich pracodawców,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 bez względu na rodzaj i obszar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prowadzonej działalności, w ramach którego można prz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eszkolić każdego pracownika czy pracodawcę bez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względu na wykonywaną pracę. Brak jest konkretnych kryteriów dostępu tzn.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że o środki może aplikować k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>ażdy zainteresowany pracodawca.</w:t>
      </w:r>
    </w:p>
    <w:p w:rsidR="00C95C77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sz w:val="20"/>
          <w:szCs w:val="20"/>
          <w:lang w:eastAsia="pl-PL"/>
        </w:rPr>
        <w:t>Priorytet ten oferuje wsparcie w zakresie poprawy bardzo szeroko pojęt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ego zdrowia </w:t>
      </w:r>
      <w:r w:rsidR="00C95C77">
        <w:rPr>
          <w:rFonts w:ascii="Arial" w:eastAsia="Times New Roman" w:hAnsi="Arial" w:cs="Arial"/>
          <w:sz w:val="20"/>
          <w:szCs w:val="20"/>
          <w:lang w:eastAsia="pl-PL"/>
        </w:rPr>
        <w:t>psychicznego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sz w:val="20"/>
          <w:szCs w:val="20"/>
          <w:lang w:eastAsia="pl-PL"/>
        </w:rPr>
        <w:t>w tym również szkolenia z zakresu działań go wspierających np. organizacji pracy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sz w:val="20"/>
          <w:szCs w:val="20"/>
          <w:lang w:eastAsia="pl-PL"/>
        </w:rPr>
        <w:t>Przykładem mogą być szkolenia z niestandardo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wych (elastycznych) form pracy.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Szkolenia dotyczące promowania i wspierania zdrowia psychicznego oraz twor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zenia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przyjaznych środowisk pracy powinny obejmować szeroki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 zakres tematów, które pomagają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zarówno menedżerom, jak i pracownikom tworzyć zdrowe, ws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pierające i produktywne miejsca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pracy.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sz w:val="20"/>
          <w:szCs w:val="20"/>
          <w:lang w:eastAsia="pl-PL"/>
        </w:rPr>
        <w:t>Przykładowe obszary, które mogą znaleźć się w zakresie tematycznym szkoleń to: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 xml:space="preserve"> rola pracodawcy w wspieraniu zdrowia psychicznego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 xml:space="preserve"> przyczyny i skutki stresu zawodowego, wyp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alenia zawodowego oraz radzenia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sobie z nimi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 xml:space="preserve"> skuteczna komunikacja w zespole, budow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anie otwartego środowiska pracy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tworzenie przyjaznego środowiska pracy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 xml:space="preserve"> różnorodność w miejscu pracy, integracj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a pracowników wywodzących się z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różnych grup pokoleniowych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65349D" w:rsidRPr="005C32B2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 xml:space="preserve"> promowanie równowagi między życiem 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zawodowym a prywatnym, zdrowego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 xml:space="preserve">stylu życia, technik relaksacyjnych i innych 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>metod radzenia sobie ze stresem</w:t>
      </w:r>
      <w:r w:rsidR="007B66BD">
        <w:rPr>
          <w:rFonts w:ascii="Arial" w:eastAsia="Times New Roman" w:hAnsi="Arial" w:cs="Arial"/>
          <w:sz w:val="20"/>
          <w:szCs w:val="20"/>
          <w:lang w:val="fr-FR" w:eastAsia="pl-PL"/>
        </w:rPr>
        <w:t>.</w:t>
      </w:r>
    </w:p>
    <w:p w:rsidR="005320BD" w:rsidRDefault="005320BD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320BD" w:rsidRDefault="005320BD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F82200" w:rsidRDefault="00F22AA8" w:rsidP="001A5A38">
      <w:pPr>
        <w:pStyle w:val="Podtytu"/>
        <w:rPr>
          <w:highlight w:val="lightGray"/>
        </w:rPr>
      </w:pPr>
      <w:r w:rsidRPr="002A03D9">
        <w:rPr>
          <w:highlight w:val="lightGray"/>
        </w:rPr>
        <w:t xml:space="preserve">Priorytet </w:t>
      </w:r>
      <w:r w:rsidR="005E05D3">
        <w:rPr>
          <w:highlight w:val="lightGray"/>
        </w:rPr>
        <w:t>6</w:t>
      </w:r>
      <w:r w:rsidRPr="002A03D9">
        <w:rPr>
          <w:highlight w:val="lightGray"/>
        </w:rPr>
        <w:t xml:space="preserve"> - </w:t>
      </w:r>
      <w:r w:rsidR="005E05D3" w:rsidRPr="005E05D3">
        <w:rPr>
          <w:highlight w:val="lightGray"/>
        </w:rPr>
        <w:t>Wsparcie cudzoziemców, w szcz</w:t>
      </w:r>
      <w:r w:rsidR="005E05D3">
        <w:rPr>
          <w:highlight w:val="lightGray"/>
        </w:rPr>
        <w:t xml:space="preserve">ególności w zakresie zdobywania </w:t>
      </w:r>
      <w:r w:rsidR="005E05D3" w:rsidRPr="005E05D3">
        <w:rPr>
          <w:highlight w:val="lightGray"/>
        </w:rPr>
        <w:t>wiedzy na temat polskiego prawa pracy i int</w:t>
      </w:r>
      <w:r w:rsidR="005E05D3">
        <w:rPr>
          <w:highlight w:val="lightGray"/>
        </w:rPr>
        <w:t>egracji tych osób na rynku pracy.</w:t>
      </w:r>
    </w:p>
    <w:p w:rsidR="005E05D3" w:rsidRPr="005E05D3" w:rsidRDefault="005E05D3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  <w:highlight w:val="lightGray"/>
          <w:lang w:eastAsia="x-none"/>
        </w:rPr>
      </w:pPr>
    </w:p>
    <w:p w:rsidR="005E05D3" w:rsidRPr="005E05D3" w:rsidRDefault="005E05D3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5E05D3">
        <w:rPr>
          <w:rFonts w:ascii="Arial" w:hAnsi="Arial" w:cs="Arial"/>
          <w:sz w:val="20"/>
          <w:szCs w:val="20"/>
          <w:lang w:eastAsia="x-none"/>
        </w:rPr>
        <w:t xml:space="preserve">W ramach tego priorytetu mogą być finansowane </w:t>
      </w:r>
      <w:r w:rsidRPr="00EB12D0">
        <w:rPr>
          <w:rFonts w:ascii="Arial" w:hAnsi="Arial" w:cs="Arial"/>
          <w:b/>
          <w:sz w:val="20"/>
          <w:szCs w:val="20"/>
          <w:lang w:eastAsia="x-none"/>
        </w:rPr>
        <w:t xml:space="preserve">szkolenia </w:t>
      </w:r>
      <w:r w:rsidRPr="00EB12D0">
        <w:rPr>
          <w:rFonts w:ascii="Arial" w:hAnsi="Arial" w:cs="Arial"/>
          <w:b/>
          <w:bCs/>
          <w:sz w:val="20"/>
          <w:szCs w:val="20"/>
          <w:lang w:eastAsia="x-none"/>
        </w:rPr>
        <w:t xml:space="preserve">tylko </w:t>
      </w:r>
      <w:r w:rsidRPr="00EB12D0">
        <w:rPr>
          <w:rFonts w:ascii="Arial" w:hAnsi="Arial" w:cs="Arial"/>
          <w:b/>
          <w:sz w:val="20"/>
          <w:szCs w:val="20"/>
          <w:lang w:eastAsia="x-none"/>
        </w:rPr>
        <w:t>dla cudzoziemców</w:t>
      </w:r>
      <w:r w:rsidRPr="005E05D3">
        <w:rPr>
          <w:rFonts w:ascii="Arial" w:hAnsi="Arial" w:cs="Arial"/>
          <w:sz w:val="20"/>
          <w:szCs w:val="20"/>
          <w:lang w:eastAsia="x-none"/>
        </w:rPr>
        <w:t>.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Zdecydowano o rezygnacji z zezwolenia na dostęp dla polskich pracowników (to samo dotyczy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pracodawców), aby środki tego priorytetu skierować tylko na potrzeby pracowników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cudzoziemców. Proszę jednocześnie pamiętać, że szkolenia dla cudzoziemców mogą być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finansowane również w ramach innych priorytetów, o ile spełniają oni kryteria w nich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określone.</w:t>
      </w:r>
    </w:p>
    <w:p w:rsidR="005E05D3" w:rsidRPr="005E05D3" w:rsidRDefault="005E05D3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5E05D3">
        <w:rPr>
          <w:rFonts w:ascii="Arial" w:hAnsi="Arial" w:cs="Arial"/>
          <w:sz w:val="20"/>
          <w:szCs w:val="20"/>
          <w:lang w:eastAsia="x-none"/>
        </w:rPr>
        <w:t>Wśród specyficznych potrzeb pracowników cudzoziemskich wskazać można w szczególności:</w:t>
      </w:r>
    </w:p>
    <w:p w:rsidR="005E05D3" w:rsidRPr="005E05D3" w:rsidRDefault="005E05D3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5E05D3">
        <w:rPr>
          <w:rFonts w:ascii="Segoe UI Symbol" w:hAnsi="Segoe UI Symbol" w:cs="Segoe UI Symbol"/>
          <w:sz w:val="20"/>
          <w:szCs w:val="20"/>
          <w:lang w:eastAsia="x-none"/>
        </w:rPr>
        <w:t>✓</w:t>
      </w:r>
      <w:r w:rsidRPr="005E05D3">
        <w:rPr>
          <w:rFonts w:ascii="Arial" w:hAnsi="Arial" w:cs="Arial"/>
          <w:sz w:val="20"/>
          <w:szCs w:val="20"/>
          <w:lang w:eastAsia="x-none"/>
        </w:rPr>
        <w:t xml:space="preserve"> doskonalenie znajomości języka polskiego oraz innych niezbędnych do pracy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języków, szczególnie w kontekście słownictwa specyficznego dla danego zawodu/ branży;</w:t>
      </w:r>
    </w:p>
    <w:p w:rsidR="005E05D3" w:rsidRPr="005E05D3" w:rsidRDefault="005E05D3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5E05D3">
        <w:rPr>
          <w:rFonts w:ascii="Segoe UI Symbol" w:hAnsi="Segoe UI Symbol" w:cs="Segoe UI Symbol"/>
          <w:sz w:val="20"/>
          <w:szCs w:val="20"/>
          <w:lang w:eastAsia="x-none"/>
        </w:rPr>
        <w:t>✓</w:t>
      </w:r>
      <w:r w:rsidRPr="005E05D3">
        <w:rPr>
          <w:rFonts w:ascii="Arial" w:hAnsi="Arial" w:cs="Arial"/>
          <w:sz w:val="20"/>
          <w:szCs w:val="20"/>
          <w:lang w:eastAsia="x-none"/>
        </w:rPr>
        <w:t xml:space="preserve"> doskonalenie wiedzy z zakresu specyfiki polskich i unijnych regulacji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dotyczących wykonywania określonego zawodu;</w:t>
      </w:r>
    </w:p>
    <w:p w:rsidR="005E05D3" w:rsidRPr="005E05D3" w:rsidRDefault="005E05D3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5E05D3">
        <w:rPr>
          <w:rFonts w:ascii="Segoe UI Symbol" w:hAnsi="Segoe UI Symbol" w:cs="Segoe UI Symbol"/>
          <w:sz w:val="20"/>
          <w:szCs w:val="20"/>
          <w:lang w:eastAsia="x-none"/>
        </w:rPr>
        <w:t>✓</w:t>
      </w:r>
      <w:r w:rsidRPr="005E05D3">
        <w:rPr>
          <w:rFonts w:ascii="Arial" w:hAnsi="Arial" w:cs="Arial"/>
          <w:sz w:val="20"/>
          <w:szCs w:val="20"/>
          <w:lang w:eastAsia="x-none"/>
        </w:rPr>
        <w:t xml:space="preserve"> rozwój miękkich kompetencji, w tym k</w:t>
      </w:r>
      <w:r>
        <w:rPr>
          <w:rFonts w:ascii="Arial" w:hAnsi="Arial" w:cs="Arial"/>
          <w:sz w:val="20"/>
          <w:szCs w:val="20"/>
          <w:lang w:eastAsia="x-none"/>
        </w:rPr>
        <w:t xml:space="preserve">omunikacyjnych, uwzględniających konieczność </w:t>
      </w:r>
      <w:r w:rsidRPr="005E05D3">
        <w:rPr>
          <w:rFonts w:ascii="Arial" w:hAnsi="Arial" w:cs="Arial"/>
          <w:sz w:val="20"/>
          <w:szCs w:val="20"/>
          <w:lang w:eastAsia="x-none"/>
        </w:rPr>
        <w:t>dostosowania się do kultury organizacyjnej polskich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prze</w:t>
      </w:r>
      <w:r>
        <w:rPr>
          <w:rFonts w:ascii="Arial" w:hAnsi="Arial" w:cs="Arial"/>
          <w:sz w:val="20"/>
          <w:szCs w:val="20"/>
          <w:lang w:eastAsia="x-none"/>
        </w:rPr>
        <w:t xml:space="preserve">dsiębiorstw i innych podmiotów, </w:t>
      </w:r>
      <w:r w:rsidRPr="005E05D3">
        <w:rPr>
          <w:rFonts w:ascii="Arial" w:hAnsi="Arial" w:cs="Arial"/>
          <w:sz w:val="20"/>
          <w:szCs w:val="20"/>
          <w:lang w:eastAsia="x-none"/>
        </w:rPr>
        <w:t>zatrudniających cudzoziemców.</w:t>
      </w:r>
    </w:p>
    <w:p w:rsidR="00213502" w:rsidRDefault="005E05D3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5E05D3">
        <w:rPr>
          <w:rFonts w:ascii="Arial" w:hAnsi="Arial" w:cs="Arial"/>
          <w:sz w:val="20"/>
          <w:szCs w:val="20"/>
          <w:lang w:eastAsia="x-none"/>
        </w:rPr>
        <w:t>Należy pamiętać, że powyższa lista nie jest katalogiem zamkniętym i każdy pracodawca może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określić własną listę potrzeb.</w:t>
      </w:r>
    </w:p>
    <w:p w:rsidR="005E05D3" w:rsidRPr="005E05D3" w:rsidRDefault="005E05D3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</w:p>
    <w:p w:rsidR="00F22AA8" w:rsidRDefault="00F22AA8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0D31FE" w:rsidRDefault="000D31FE" w:rsidP="001A5A38">
      <w:pPr>
        <w:pStyle w:val="Podtytu"/>
        <w:spacing w:before="360"/>
        <w:rPr>
          <w:rFonts w:eastAsia="Times New Roman"/>
          <w:lang w:eastAsia="pl-PL"/>
        </w:rPr>
      </w:pPr>
      <w:r w:rsidRPr="005320BD">
        <w:rPr>
          <w:rFonts w:eastAsia="Times New Roman"/>
          <w:highlight w:val="lightGray"/>
          <w:lang w:eastAsia="pl-PL"/>
        </w:rPr>
        <w:lastRenderedPageBreak/>
        <w:t xml:space="preserve">Priorytet </w:t>
      </w:r>
      <w:r w:rsidR="005E05D3">
        <w:rPr>
          <w:rFonts w:eastAsia="Times New Roman"/>
          <w:highlight w:val="lightGray"/>
          <w:lang w:eastAsia="pl-PL"/>
        </w:rPr>
        <w:t>7</w:t>
      </w:r>
      <w:r w:rsidRPr="005320BD">
        <w:rPr>
          <w:rFonts w:eastAsia="Times New Roman"/>
          <w:highlight w:val="lightGray"/>
          <w:lang w:eastAsia="pl-PL"/>
        </w:rPr>
        <w:t xml:space="preserve"> - </w:t>
      </w:r>
      <w:r w:rsidR="005E05D3" w:rsidRPr="005E05D3">
        <w:rPr>
          <w:rFonts w:eastAsia="Times New Roman"/>
          <w:highlight w:val="lightGray"/>
          <w:lang w:eastAsia="pl-PL"/>
        </w:rPr>
        <w:t>Wsparcie rozwoju umiejętności i kwal</w:t>
      </w:r>
      <w:r w:rsidR="005E05D3">
        <w:rPr>
          <w:rFonts w:eastAsia="Times New Roman"/>
          <w:highlight w:val="lightGray"/>
          <w:lang w:eastAsia="pl-PL"/>
        </w:rPr>
        <w:t xml:space="preserve">ifikacji niezbędnych w sektorze </w:t>
      </w:r>
      <w:r w:rsidR="005E05D3" w:rsidRPr="005E05D3">
        <w:rPr>
          <w:rFonts w:eastAsia="Times New Roman"/>
          <w:highlight w:val="lightGray"/>
          <w:lang w:eastAsia="pl-PL"/>
        </w:rPr>
        <w:t>usług zdrowotnych i opiekuńczych</w:t>
      </w:r>
      <w:r w:rsidR="005E05D3">
        <w:rPr>
          <w:rFonts w:eastAsia="Times New Roman"/>
          <w:lang w:eastAsia="pl-PL"/>
        </w:rPr>
        <w:t>.</w:t>
      </w:r>
    </w:p>
    <w:p w:rsidR="005E05D3" w:rsidRPr="005E05D3" w:rsidRDefault="005E05D3" w:rsidP="005E05D3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</w:pPr>
    </w:p>
    <w:p w:rsidR="005E05D3" w:rsidRPr="005E05D3" w:rsidRDefault="005E05D3" w:rsidP="005E05D3">
      <w:pPr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5D3">
        <w:rPr>
          <w:rFonts w:ascii="Arial" w:eastAsia="Times New Roman" w:hAnsi="Arial" w:cs="Arial"/>
          <w:sz w:val="20"/>
          <w:szCs w:val="20"/>
          <w:lang w:eastAsia="pl-PL"/>
        </w:rPr>
        <w:t>Zgodnie z ustawą z dnia 15 kwietnia 2011 r. o działalności leczniczej (t.j. Dz.U. z 2024 r., poz.799) świadczeniami zdrowotnymi są działania służące zachowaniu, ratowaniu, przywracaniu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lub poprawie zdrowia oraz inne działania medyczne wynikające z procesu leczenia. Udzielanie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świadczeń zdrowotnych odbywa się w ramach działalności leczniczej. Ustawodawca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wyodrębnił przy tym jej dwa rodzaje – polegającą na: stacjonarnym i całodobowym udzielaniu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świadczeń zdrowotnych oraz ambulatoryjnym udzielaniu świadczeń zdrowotnych – czyli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w warunkach niewymagających udzielania świadczeń w trybie stacjonarnym i całodobowym.</w:t>
      </w:r>
    </w:p>
    <w:p w:rsidR="00C95C77" w:rsidRDefault="005E05D3" w:rsidP="005E05D3">
      <w:pPr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5D3">
        <w:rPr>
          <w:rFonts w:ascii="Arial" w:eastAsia="Times New Roman" w:hAnsi="Arial" w:cs="Arial"/>
          <w:sz w:val="20"/>
          <w:szCs w:val="20"/>
          <w:lang w:eastAsia="pl-PL"/>
        </w:rPr>
        <w:t>Obecnie, biorąc pod uwagę stan zdrowia społeczeństwa i nasilający się proces starzenia rosną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potrzeby rozwoju usług opiekuńczych i opieki zdrowotnej. Potrzeba jest coraz więcej dobrze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wyszkolonych i posiadających umiejętności na wysokim poziomie osób zatrudnionych w tych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sektorach. Celem wprowadzenia niniejszego priorytetu jest chęć wsparcia osób zatrudnionych</w:t>
      </w:r>
      <w:r w:rsidR="00C95C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E05D3" w:rsidRPr="005E05D3" w:rsidRDefault="005E05D3" w:rsidP="005E05D3">
      <w:pPr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5D3">
        <w:rPr>
          <w:rFonts w:ascii="Arial" w:eastAsia="Times New Roman" w:hAnsi="Arial" w:cs="Arial"/>
          <w:sz w:val="20"/>
          <w:szCs w:val="20"/>
          <w:lang w:eastAsia="pl-PL"/>
        </w:rPr>
        <w:t>w sektorze usług zdrowotnych i opiekuńczych.</w:t>
      </w:r>
    </w:p>
    <w:p w:rsidR="005E05D3" w:rsidRDefault="005E05D3" w:rsidP="005E05D3">
      <w:pPr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5D3">
        <w:rPr>
          <w:rFonts w:ascii="Arial" w:eastAsia="Times New Roman" w:hAnsi="Arial" w:cs="Arial"/>
          <w:sz w:val="20"/>
          <w:szCs w:val="20"/>
          <w:lang w:eastAsia="pl-PL"/>
        </w:rPr>
        <w:t>Warunkiem skorzystania z dostępnych środków jest oświadczenie pracodawcy o konieczności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odbycia wnioskowanego szkolenia lub nabycia określonych umiejętności z zakresu usług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 xml:space="preserve">zdrowotnych i opiekuńczych. </w:t>
      </w:r>
    </w:p>
    <w:p w:rsidR="005E05D3" w:rsidRDefault="005E05D3" w:rsidP="005E05D3">
      <w:pPr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5D3">
        <w:rPr>
          <w:rFonts w:ascii="Arial" w:eastAsia="Times New Roman" w:hAnsi="Arial" w:cs="Arial"/>
          <w:sz w:val="20"/>
          <w:szCs w:val="20"/>
          <w:lang w:eastAsia="pl-PL"/>
        </w:rPr>
        <w:t>Dostęp do priorytetu ma każdy pracodawca posiadający PKD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b/>
          <w:sz w:val="20"/>
          <w:szCs w:val="20"/>
          <w:lang w:eastAsia="pl-PL"/>
        </w:rPr>
        <w:t>Sekcji Q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 xml:space="preserve"> tj. Opieka zdrowotna i pomoc społeczna w działach 86 – Opieka zdrowotna, 87-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 xml:space="preserve">Pomoc społeczna z zakwaterowaniem, 88 – Pomoc społeczna bez zakwaterowania. </w:t>
      </w:r>
    </w:p>
    <w:p w:rsidR="005E05D3" w:rsidRPr="005E05D3" w:rsidRDefault="005E05D3" w:rsidP="005E05D3">
      <w:pPr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5D3">
        <w:rPr>
          <w:rFonts w:ascii="Arial" w:eastAsia="Times New Roman" w:hAnsi="Arial" w:cs="Arial"/>
          <w:sz w:val="20"/>
          <w:szCs w:val="20"/>
          <w:lang w:eastAsia="pl-PL"/>
        </w:rPr>
        <w:t>W ramach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tego priorytetu można dofinansować dopuszczalne ustawą formy kształcenia ustawicznego</w:t>
      </w:r>
    </w:p>
    <w:p w:rsidR="000D31FE" w:rsidRDefault="005E05D3" w:rsidP="005E05D3">
      <w:pPr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5D3">
        <w:rPr>
          <w:rFonts w:ascii="Arial" w:eastAsia="Times New Roman" w:hAnsi="Arial" w:cs="Arial"/>
          <w:sz w:val="20"/>
          <w:szCs w:val="20"/>
          <w:lang w:eastAsia="pl-PL"/>
        </w:rPr>
        <w:t>bezpośrednio związane z szeroko pojętą opieką zdrowotną czy opieką społeczną. Należy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jednak pamiętać, że w ramach KFS nie można finansować tych samych szkoleń, na które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przeznaczone są inne środki publiczne np. środki na specjalizacje pielęgniarek i położnych.</w:t>
      </w:r>
    </w:p>
    <w:p w:rsidR="005E05D3" w:rsidRPr="005E05D3" w:rsidRDefault="005E05D3" w:rsidP="005E05D3">
      <w:pPr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05D3" w:rsidRPr="000F2CAD" w:rsidRDefault="005E05D3" w:rsidP="001A5A38">
      <w:pPr>
        <w:pStyle w:val="Podtytu"/>
      </w:pPr>
      <w:r w:rsidRPr="000F2CAD">
        <w:rPr>
          <w:highlight w:val="lightGray"/>
        </w:rPr>
        <w:t>Priorytet 8 - Rozwój umiejętności cyfrowych</w:t>
      </w:r>
      <w:r w:rsidRPr="000F2CAD">
        <w:t>.</w:t>
      </w:r>
    </w:p>
    <w:p w:rsidR="005E05D3" w:rsidRPr="005E05D3" w:rsidRDefault="005E05D3" w:rsidP="005E05D3">
      <w:pPr>
        <w:spacing w:after="0" w:line="240" w:lineRule="auto"/>
        <w:jc w:val="both"/>
        <w:rPr>
          <w:b/>
        </w:rPr>
      </w:pPr>
    </w:p>
    <w:p w:rsidR="00C95C77" w:rsidRDefault="000F2CAD" w:rsidP="000F2CAD">
      <w:pPr>
        <w:spacing w:after="0" w:line="240" w:lineRule="auto"/>
        <w:jc w:val="both"/>
      </w:pPr>
      <w:r w:rsidRPr="000F2CAD">
        <w:t>Propozycja tego priorytetu wynika z faktu, że postęp technologiczny i cyfrowy jest coraz</w:t>
      </w:r>
      <w:r>
        <w:t xml:space="preserve"> </w:t>
      </w:r>
      <w:r w:rsidRPr="000F2CAD">
        <w:t>ba</w:t>
      </w:r>
      <w:r>
        <w:t xml:space="preserve">rdziej </w:t>
      </w:r>
      <w:r w:rsidRPr="000F2CAD">
        <w:t>obecny w życiu każdego człowieka i będzie skutkować istotnymi zmianami w</w:t>
      </w:r>
      <w:r>
        <w:t xml:space="preserve"> </w:t>
      </w:r>
      <w:r w:rsidRPr="000F2CAD">
        <w:t>strukturze zatrudnienia oraz popycie na konkretne zawody i umiejętności. Bardzo ważne jest</w:t>
      </w:r>
      <w:r>
        <w:t xml:space="preserve"> </w:t>
      </w:r>
      <w:r w:rsidRPr="000F2CAD">
        <w:t>aby osoby funkcjonujące na rynku pracy były wyposażone w umiejętności, które nie będą się</w:t>
      </w:r>
      <w:r>
        <w:t xml:space="preserve"> </w:t>
      </w:r>
      <w:r w:rsidRPr="000F2CAD">
        <w:t>szybko dezaktualizować i pozwolą na stały rozwój posiadanego doświadczenia,</w:t>
      </w:r>
      <w:r>
        <w:t xml:space="preserve"> </w:t>
      </w:r>
      <w:r w:rsidRPr="000F2CAD">
        <w:t>wiedzy i umiejętności</w:t>
      </w:r>
      <w:r w:rsidR="00C95C77">
        <w:t xml:space="preserve">. Z punktu widzenia pracodawców </w:t>
      </w:r>
    </w:p>
    <w:p w:rsidR="000F2CAD" w:rsidRPr="000F2CAD" w:rsidRDefault="000F2CAD" w:rsidP="000F2CAD">
      <w:pPr>
        <w:spacing w:after="0" w:line="240" w:lineRule="auto"/>
        <w:jc w:val="both"/>
      </w:pPr>
      <w:r w:rsidRPr="000F2CAD">
        <w:t>w perspektywie wieloletniej ważne</w:t>
      </w:r>
      <w:r>
        <w:t xml:space="preserve"> </w:t>
      </w:r>
      <w:r w:rsidRPr="000F2CAD">
        <w:t>będzie to, by kadry gospodarki dysponowały nowoczesnymi umiejętnościami, potrzebnymi</w:t>
      </w:r>
      <w:r>
        <w:t xml:space="preserve"> </w:t>
      </w:r>
      <w:r w:rsidRPr="000F2CAD">
        <w:t>w scyfryzowanych branżach oraz gospodarce obiegu zamkniętego.</w:t>
      </w:r>
    </w:p>
    <w:p w:rsidR="00C95C77" w:rsidRDefault="000F2CAD" w:rsidP="000F2CAD">
      <w:pPr>
        <w:spacing w:after="0" w:line="240" w:lineRule="auto"/>
        <w:jc w:val="both"/>
      </w:pPr>
      <w:r w:rsidRPr="000F2CAD">
        <w:t>Składając stosowny wniosek o dofinansowanie podnoszenia kompetencji cyfrowych</w:t>
      </w:r>
      <w:r>
        <w:t xml:space="preserve"> </w:t>
      </w:r>
      <w:r w:rsidRPr="000F2CAD">
        <w:t xml:space="preserve">Wnioskodawca </w:t>
      </w:r>
      <w:r w:rsidR="00C95C77">
        <w:t xml:space="preserve"> </w:t>
      </w:r>
    </w:p>
    <w:p w:rsidR="000F2CAD" w:rsidRPr="000F2CAD" w:rsidRDefault="000F2CAD" w:rsidP="000F2CAD">
      <w:pPr>
        <w:spacing w:after="0" w:line="240" w:lineRule="auto"/>
        <w:jc w:val="both"/>
      </w:pPr>
      <w:r w:rsidRPr="000F2CAD">
        <w:t>w uzasadnieniu powinien wykazać, że posiadanie konkretnych umiejętności</w:t>
      </w:r>
      <w:r>
        <w:t xml:space="preserve"> </w:t>
      </w:r>
      <w:r w:rsidRPr="000F2CAD">
        <w:t xml:space="preserve">cyfrowych, które objęte </w:t>
      </w:r>
      <w:r w:rsidR="00C95C77">
        <w:t xml:space="preserve">  </w:t>
      </w:r>
      <w:r w:rsidRPr="000F2CAD">
        <w:t>są tematyką wnioskowanego szkolenia, jest powiązane z pracą</w:t>
      </w:r>
      <w:r>
        <w:t xml:space="preserve"> </w:t>
      </w:r>
      <w:r w:rsidRPr="000F2CAD">
        <w:t>wykonywaną przez osobę kierowaną na szkolenie.</w:t>
      </w:r>
    </w:p>
    <w:p w:rsidR="002A03D9" w:rsidRDefault="000F2CAD" w:rsidP="000F2CAD">
      <w:pPr>
        <w:spacing w:after="0" w:line="240" w:lineRule="auto"/>
        <w:jc w:val="both"/>
      </w:pPr>
      <w:r w:rsidRPr="000F2CAD">
        <w:t xml:space="preserve">PKD Wnioskodawcy nie jest w tym przypadku istotne. </w:t>
      </w:r>
      <w:r>
        <w:t>Priorytet ten d</w:t>
      </w:r>
      <w:r w:rsidRPr="000F2CAD">
        <w:t>otyczy wszystkich</w:t>
      </w:r>
      <w:r>
        <w:t xml:space="preserve"> </w:t>
      </w:r>
      <w:r w:rsidRPr="000F2CAD">
        <w:t>wnioskodawców.</w:t>
      </w:r>
    </w:p>
    <w:p w:rsidR="000F2CAD" w:rsidRDefault="000F2CAD" w:rsidP="000F2CAD">
      <w:pPr>
        <w:spacing w:after="0" w:line="240" w:lineRule="auto"/>
        <w:jc w:val="both"/>
      </w:pPr>
    </w:p>
    <w:p w:rsidR="000F2CAD" w:rsidRDefault="000F2CAD" w:rsidP="001A5A38">
      <w:pPr>
        <w:pStyle w:val="Podtytu"/>
        <w:rPr>
          <w:highlight w:val="lightGray"/>
        </w:rPr>
      </w:pPr>
      <w:bookmarkStart w:id="0" w:name="_GoBack"/>
      <w:r w:rsidRPr="000F2CAD">
        <w:rPr>
          <w:highlight w:val="lightGray"/>
        </w:rPr>
        <w:t xml:space="preserve">Priorytet </w:t>
      </w:r>
      <w:r>
        <w:rPr>
          <w:highlight w:val="lightGray"/>
        </w:rPr>
        <w:t>9</w:t>
      </w:r>
      <w:r w:rsidRPr="000F2CAD">
        <w:rPr>
          <w:highlight w:val="lightGray"/>
        </w:rPr>
        <w:t xml:space="preserve"> - Wsparcie rozwoju umiejętności związan</w:t>
      </w:r>
      <w:r>
        <w:rPr>
          <w:highlight w:val="lightGray"/>
        </w:rPr>
        <w:t xml:space="preserve">ych z transformacją </w:t>
      </w:r>
      <w:r w:rsidRPr="000F2CAD">
        <w:rPr>
          <w:highlight w:val="lightGray"/>
        </w:rPr>
        <w:t>energetyczną</w:t>
      </w:r>
      <w:r>
        <w:rPr>
          <w:highlight w:val="lightGray"/>
        </w:rPr>
        <w:t>.</w:t>
      </w:r>
    </w:p>
    <w:bookmarkEnd w:id="0"/>
    <w:p w:rsidR="000F2CAD" w:rsidRDefault="000F2CAD" w:rsidP="000F2CAD">
      <w:pPr>
        <w:spacing w:after="0" w:line="240" w:lineRule="auto"/>
        <w:jc w:val="both"/>
        <w:rPr>
          <w:rFonts w:ascii="Arial" w:hAnsi="Arial" w:cs="Arial"/>
          <w:b/>
          <w:bCs/>
          <w:sz w:val="20"/>
          <w:highlight w:val="lightGray"/>
        </w:rPr>
      </w:pPr>
    </w:p>
    <w:p w:rsidR="00C95C77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F2CAD">
        <w:rPr>
          <w:rFonts w:ascii="Arial" w:hAnsi="Arial" w:cs="Arial"/>
          <w:bCs/>
          <w:sz w:val="20"/>
        </w:rPr>
        <w:t>Transformacja energetyczna to długotrwały proces modyfikacji gospodarki i sieci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energetycznych, aby były bardziej zrównoważone, mniej zależne od paliw kopalnych i bardziej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efektywne energetycznie. Celem transformacji energetycznej jest zmniejszenie szkód dla</w:t>
      </w:r>
      <w:r>
        <w:rPr>
          <w:rFonts w:ascii="Arial" w:hAnsi="Arial" w:cs="Arial"/>
          <w:bCs/>
          <w:sz w:val="20"/>
        </w:rPr>
        <w:t xml:space="preserve"> </w:t>
      </w:r>
      <w:r w:rsidR="00C95C77">
        <w:rPr>
          <w:rFonts w:ascii="Arial" w:hAnsi="Arial" w:cs="Arial"/>
          <w:bCs/>
          <w:sz w:val="20"/>
        </w:rPr>
        <w:t xml:space="preserve">klimatu, zdrowia publicznego </w:t>
      </w:r>
    </w:p>
    <w:p w:rsidR="000F2CAD" w:rsidRPr="000F2CAD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F2CAD">
        <w:rPr>
          <w:rFonts w:ascii="Arial" w:hAnsi="Arial" w:cs="Arial"/>
          <w:bCs/>
          <w:sz w:val="20"/>
        </w:rPr>
        <w:t>i środowiska naturalnego.</w:t>
      </w:r>
    </w:p>
    <w:p w:rsidR="000F2CAD" w:rsidRPr="000F2CAD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F2CAD">
        <w:rPr>
          <w:rFonts w:ascii="Arial" w:hAnsi="Arial" w:cs="Arial"/>
          <w:bCs/>
          <w:sz w:val="20"/>
        </w:rPr>
        <w:t>W Polsce ma oznaczać ona rozwój i przebudowę polskiej energetyki zgodnie z celami polityki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klimatyczno-energetycznej. Przyjęto, że ma opierać się na trzech filarach:</w:t>
      </w:r>
    </w:p>
    <w:p w:rsidR="000F2CAD" w:rsidRPr="000F2CAD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F2CAD">
        <w:rPr>
          <w:rFonts w:ascii="Segoe UI Symbol" w:hAnsi="Segoe UI Symbol" w:cs="Segoe UI Symbol"/>
          <w:bCs/>
          <w:sz w:val="20"/>
        </w:rPr>
        <w:t>✓</w:t>
      </w:r>
      <w:r w:rsidRPr="000F2CAD">
        <w:rPr>
          <w:rFonts w:ascii="Arial" w:hAnsi="Arial" w:cs="Arial"/>
          <w:bCs/>
          <w:sz w:val="20"/>
        </w:rPr>
        <w:t xml:space="preserve"> dekarbonizacja – czyli redukcja emisji gazów cieplarnianych i rozwój OZE,</w:t>
      </w:r>
    </w:p>
    <w:p w:rsidR="000F2CAD" w:rsidRPr="000F2CAD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F2CAD">
        <w:rPr>
          <w:rFonts w:ascii="Segoe UI Symbol" w:hAnsi="Segoe UI Symbol" w:cs="Segoe UI Symbol"/>
          <w:bCs/>
          <w:sz w:val="20"/>
        </w:rPr>
        <w:lastRenderedPageBreak/>
        <w:t>✓</w:t>
      </w:r>
      <w:r w:rsidRPr="000F2CAD">
        <w:rPr>
          <w:rFonts w:ascii="Arial" w:hAnsi="Arial" w:cs="Arial"/>
          <w:bCs/>
          <w:sz w:val="20"/>
        </w:rPr>
        <w:t xml:space="preserve"> decentralizacja – dotyczy odejścia od dużych elektrowni na rzecz rozproszonych</w:t>
      </w:r>
    </w:p>
    <w:p w:rsidR="000F2CAD" w:rsidRPr="000F2CAD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F2CAD">
        <w:rPr>
          <w:rFonts w:ascii="Arial" w:hAnsi="Arial" w:cs="Arial"/>
          <w:bCs/>
          <w:sz w:val="20"/>
        </w:rPr>
        <w:t>odnawialnych źródeł energii o mniejszej mocy,</w:t>
      </w:r>
    </w:p>
    <w:p w:rsidR="000F2CAD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F2CAD">
        <w:rPr>
          <w:rFonts w:ascii="Segoe UI Symbol" w:hAnsi="Segoe UI Symbol" w:cs="Segoe UI Symbol"/>
          <w:bCs/>
          <w:sz w:val="20"/>
        </w:rPr>
        <w:t>✓</w:t>
      </w:r>
      <w:r w:rsidRPr="000F2CAD">
        <w:rPr>
          <w:rFonts w:ascii="Arial" w:hAnsi="Arial" w:cs="Arial"/>
          <w:bCs/>
          <w:sz w:val="20"/>
        </w:rPr>
        <w:t xml:space="preserve"> digitalizacja – to postawienie na infrastrukturę informatyczną, dzięki której możliwe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będzie np. wprowadzenie taryf dynamicznych (czyli takich, w których końcowa opłata za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energię jest bezpośrednio powiązana z bieżącymi cenami na hurtowym rynku energii).</w:t>
      </w:r>
    </w:p>
    <w:p w:rsidR="000F2CAD" w:rsidRPr="000F2CAD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:rsidR="00C95C77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F2CAD">
        <w:rPr>
          <w:rFonts w:ascii="Arial" w:hAnsi="Arial" w:cs="Arial"/>
          <w:bCs/>
          <w:sz w:val="20"/>
        </w:rPr>
        <w:t>Priorytet niniejszy adresowany jest do wszystkich pracodawców, którzy w jakikolwiek sposób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chcą przyczynić się do realizacji założonych celów transformacji energetycznej np. przejścia z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energetyki tradycyjnej, na przykład węglowej, do bardziej przyjaznych środowisku źródeł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energii np. wiatraków czy farm fotowoltaicznych. Będą również mogły być finansowane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szkolenia mające na celu rozwój tzw. zielonych kompetencji czyli zestawu umiejętności</w:t>
      </w:r>
      <w:r w:rsidR="00E6758D"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pozwalających na działania na rzecz zrównoważonego rozwoju. W ramach tego priorytetu</w:t>
      </w:r>
      <w:r w:rsidR="00E6758D"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mogą by</w:t>
      </w:r>
      <w:r w:rsidR="00C95C77">
        <w:rPr>
          <w:rFonts w:ascii="Arial" w:hAnsi="Arial" w:cs="Arial"/>
          <w:bCs/>
          <w:sz w:val="20"/>
        </w:rPr>
        <w:t xml:space="preserve">ć finansowane również szkolenia </w:t>
      </w:r>
    </w:p>
    <w:p w:rsidR="000F2CAD" w:rsidRPr="000F2CAD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F2CAD">
        <w:rPr>
          <w:rFonts w:ascii="Arial" w:hAnsi="Arial" w:cs="Arial"/>
          <w:bCs/>
          <w:sz w:val="20"/>
        </w:rPr>
        <w:t>w obszarze szeroko pojętej ekologii.</w:t>
      </w:r>
    </w:p>
    <w:p w:rsidR="000F2CAD" w:rsidRDefault="000F2CAD" w:rsidP="000F2CAD">
      <w:pPr>
        <w:spacing w:after="0" w:line="240" w:lineRule="auto"/>
        <w:jc w:val="both"/>
      </w:pPr>
    </w:p>
    <w:p w:rsidR="00F22AA8" w:rsidRPr="001A5A38" w:rsidRDefault="00F22AA8" w:rsidP="001A5A38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A5A38">
        <w:rPr>
          <w:rFonts w:ascii="Times New Roman" w:hAnsi="Times New Roman" w:cs="Times New Roman"/>
          <w:b/>
          <w:color w:val="auto"/>
          <w:sz w:val="24"/>
          <w:szCs w:val="24"/>
        </w:rPr>
        <w:t>KRYTERIA OCENY WNIOSKÓW</w:t>
      </w:r>
    </w:p>
    <w:p w:rsidR="00F22AA8" w:rsidRPr="000A01D3" w:rsidRDefault="00F22AA8" w:rsidP="00F22AA8">
      <w:pPr>
        <w:pStyle w:val="Akapitzlist"/>
        <w:tabs>
          <w:tab w:val="left" w:pos="284"/>
        </w:tabs>
        <w:ind w:left="142"/>
        <w:rPr>
          <w:rFonts w:ascii="Arial" w:hAnsi="Arial" w:cs="Arial"/>
          <w:sz w:val="20"/>
          <w:u w:val="single"/>
        </w:rPr>
      </w:pP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Środki w ramach KFS zostaną przyznane pracodawcom wyłonionym w drodze konkursu.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Wnioskodawca, którego wniosek uzyskał liczbę punktów co najmniej 40, może otrzymać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wsparcie w ramach Krajowego Funduszu Szkoleniowego.</w:t>
      </w:r>
    </w:p>
    <w:p w:rsidR="00C95C77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Złożone wnioski będą podlegały ocenie formalnej oraz merytorycznej przez </w:t>
      </w:r>
      <w:r w:rsidRPr="00E207C8">
        <w:rPr>
          <w:rFonts w:ascii="Arial" w:eastAsiaTheme="minorHAnsi" w:hAnsi="Arial" w:cs="Arial"/>
          <w:sz w:val="20"/>
        </w:rPr>
        <w:t>wyznaczonych</w:t>
      </w:r>
      <w:r w:rsidR="003D2EA5" w:rsidRPr="00E207C8">
        <w:rPr>
          <w:rFonts w:ascii="Arial" w:eastAsiaTheme="minorHAnsi" w:hAnsi="Arial" w:cs="Arial"/>
          <w:sz w:val="20"/>
        </w:rPr>
        <w:t xml:space="preserve">  </w:t>
      </w:r>
      <w:r w:rsidRPr="00E207C8">
        <w:rPr>
          <w:rFonts w:ascii="Arial" w:eastAsiaTheme="minorHAnsi" w:hAnsi="Arial" w:cs="Arial"/>
          <w:sz w:val="20"/>
        </w:rPr>
        <w:t>pracowników</w:t>
      </w:r>
      <w:r w:rsidR="00E207C8" w:rsidRPr="00E207C8">
        <w:rPr>
          <w:rFonts w:ascii="Arial" w:eastAsiaTheme="minorHAnsi" w:hAnsi="Arial" w:cs="Arial"/>
          <w:sz w:val="20"/>
        </w:rPr>
        <w:t xml:space="preserve"> oraz Komisję ds. opiniowania wniosków</w:t>
      </w:r>
      <w:r w:rsidR="00E207C8">
        <w:rPr>
          <w:rFonts w:ascii="Arial" w:eastAsiaTheme="minorHAnsi" w:hAnsi="Arial" w:cs="Arial"/>
          <w:color w:val="FF0000"/>
          <w:sz w:val="20"/>
        </w:rPr>
        <w:t xml:space="preserve"> </w:t>
      </w:r>
      <w:r w:rsidR="00E207C8" w:rsidRPr="00E207C8">
        <w:rPr>
          <w:rFonts w:ascii="Arial" w:eastAsiaTheme="minorHAnsi" w:hAnsi="Arial" w:cs="Arial"/>
          <w:sz w:val="20"/>
        </w:rPr>
        <w:t xml:space="preserve">w </w:t>
      </w:r>
      <w:r w:rsidR="00E207C8">
        <w:rPr>
          <w:rFonts w:ascii="Arial" w:eastAsiaTheme="minorHAnsi" w:hAnsi="Arial" w:cs="Arial"/>
          <w:sz w:val="20"/>
        </w:rPr>
        <w:t>Powiatowym Urzędzie</w:t>
      </w:r>
      <w:r w:rsidRPr="00E207C8">
        <w:rPr>
          <w:rFonts w:ascii="Arial" w:eastAsiaTheme="minorHAnsi" w:hAnsi="Arial" w:cs="Arial"/>
          <w:sz w:val="20"/>
        </w:rPr>
        <w:t xml:space="preserve"> Pracy</w:t>
      </w:r>
      <w:r w:rsidR="00C95C77">
        <w:rPr>
          <w:rFonts w:ascii="Arial" w:eastAsiaTheme="minorHAnsi" w:hAnsi="Arial" w:cs="Arial"/>
          <w:sz w:val="20"/>
        </w:rPr>
        <w:t xml:space="preserve"> </w:t>
      </w:r>
    </w:p>
    <w:p w:rsidR="00F22AA8" w:rsidRPr="000A01D3" w:rsidRDefault="00E207C8" w:rsidP="00C95C7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w Limanowej</w:t>
      </w:r>
      <w:r w:rsidR="00F22AA8" w:rsidRPr="000A01D3">
        <w:rPr>
          <w:rFonts w:ascii="Arial" w:eastAsiaTheme="minorHAnsi" w:hAnsi="Arial" w:cs="Arial"/>
          <w:sz w:val="20"/>
        </w:rPr>
        <w:t>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ramach środków z KFS pracodawca może złożyć w r</w:t>
      </w:r>
      <w:r w:rsidR="003D2EA5" w:rsidRPr="000A01D3">
        <w:rPr>
          <w:rFonts w:ascii="Arial" w:eastAsiaTheme="minorHAnsi" w:hAnsi="Arial" w:cs="Arial"/>
          <w:sz w:val="20"/>
        </w:rPr>
        <w:t xml:space="preserve">amach jednego naboru maksymalnie </w:t>
      </w:r>
      <w:r w:rsidRPr="000A01D3">
        <w:rPr>
          <w:rFonts w:ascii="Arial" w:eastAsiaTheme="minorHAnsi" w:hAnsi="Arial" w:cs="Arial"/>
          <w:sz w:val="20"/>
        </w:rPr>
        <w:t>dwa wnioski.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Zaleca się zaplanowanie terminu rozpoczęcia kształcenia w terminie </w:t>
      </w:r>
      <w:r w:rsidRPr="000A01D3">
        <w:rPr>
          <w:rFonts w:ascii="Arial" w:eastAsiaTheme="minorHAnsi" w:hAnsi="Arial" w:cs="Arial"/>
          <w:b/>
          <w:bCs/>
          <w:sz w:val="20"/>
        </w:rPr>
        <w:t xml:space="preserve">co najmniej </w:t>
      </w:r>
      <w:r w:rsidR="003D2EA5" w:rsidRPr="000A01D3">
        <w:rPr>
          <w:rFonts w:ascii="Arial" w:eastAsiaTheme="minorHAnsi" w:hAnsi="Arial" w:cs="Arial"/>
          <w:b/>
          <w:bCs/>
          <w:sz w:val="20"/>
        </w:rPr>
        <w:t>4</w:t>
      </w:r>
      <w:r w:rsidRPr="000A01D3">
        <w:rPr>
          <w:rFonts w:ascii="Arial" w:eastAsiaTheme="minorHAnsi" w:hAnsi="Arial" w:cs="Arial"/>
          <w:b/>
          <w:bCs/>
          <w:sz w:val="20"/>
        </w:rPr>
        <w:t>0 dni</w:t>
      </w:r>
      <w:r w:rsidR="003D2EA5" w:rsidRPr="000A01D3">
        <w:rPr>
          <w:rFonts w:ascii="Arial" w:eastAsiaTheme="minorHAnsi" w:hAnsi="Arial" w:cs="Arial"/>
          <w:b/>
          <w:bCs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od dnia złożenia wniosku, z uwagi na niezbędny czas na przeprowadzenie konkursu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wniosków, rozpatrzenie wniosków i zawarcie umowy. W przypadku zbyt krótkiego terminu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do rozpoczęcia wnioskowanego kształcenia, urząd może odmówić podpisania umowy.</w:t>
      </w:r>
    </w:p>
    <w:p w:rsidR="00C95C77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Mając na względzie sprawną obsługę pracodawców, w sytuacji kiedy kwota dofinansowania</w:t>
      </w:r>
    </w:p>
    <w:p w:rsidR="00F22AA8" w:rsidRPr="000A01D3" w:rsidRDefault="003D73A4" w:rsidP="00C95C7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 xml:space="preserve"> w </w:t>
      </w:r>
      <w:r w:rsidR="00F22AA8" w:rsidRPr="000A01D3">
        <w:rPr>
          <w:rFonts w:ascii="Arial" w:eastAsiaTheme="minorHAnsi" w:hAnsi="Arial" w:cs="Arial"/>
          <w:sz w:val="20"/>
        </w:rPr>
        <w:t>złożonych wnioskach przewyższa dostępny limit, Urząd może zawrzeć umowę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="00F22AA8" w:rsidRPr="000A01D3">
        <w:rPr>
          <w:rFonts w:ascii="Arial" w:eastAsiaTheme="minorHAnsi" w:hAnsi="Arial" w:cs="Arial"/>
          <w:sz w:val="20"/>
        </w:rPr>
        <w:t>kształcenie przed rozstrzygnięciem konkursu i sporządzeniem rankingu punktowego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="00F22AA8" w:rsidRPr="000A01D3">
        <w:rPr>
          <w:rFonts w:ascii="Arial" w:eastAsiaTheme="minorHAnsi" w:hAnsi="Arial" w:cs="Arial"/>
          <w:sz w:val="20"/>
        </w:rPr>
        <w:t>w przypadku uzyskania min. 50 punktów w ocenie merytorycznej wniosku. Jeżeli natomiast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="00F22AA8" w:rsidRPr="000A01D3">
        <w:rPr>
          <w:rFonts w:ascii="Arial" w:eastAsiaTheme="minorHAnsi" w:hAnsi="Arial" w:cs="Arial"/>
          <w:sz w:val="20"/>
        </w:rPr>
        <w:t>posiadany limit środków pozwoli na pokrycie zapotrzebowania zgłoszonego przez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="00F22AA8" w:rsidRPr="000A01D3">
        <w:rPr>
          <w:rFonts w:ascii="Arial" w:eastAsiaTheme="minorHAnsi" w:hAnsi="Arial" w:cs="Arial"/>
          <w:sz w:val="20"/>
        </w:rPr>
        <w:t>pracodawców w danym naborze, Urząd dopuszcza zawarcie umowy na podstawie wniosku,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="00F22AA8" w:rsidRPr="000A01D3">
        <w:rPr>
          <w:rFonts w:ascii="Arial" w:eastAsiaTheme="minorHAnsi" w:hAnsi="Arial" w:cs="Arial"/>
          <w:sz w:val="20"/>
        </w:rPr>
        <w:t>który uzyskał min. 40 punktów.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</w:rPr>
      </w:pPr>
      <w:r w:rsidRPr="000A01D3">
        <w:rPr>
          <w:rFonts w:ascii="Arial" w:eastAsiaTheme="minorHAnsi" w:hAnsi="Arial" w:cs="Arial"/>
          <w:b/>
          <w:bCs/>
          <w:sz w:val="20"/>
        </w:rPr>
        <w:t>Ocena formalna wniosku polega na weryfikacji wniosku pod względem spełniania</w:t>
      </w:r>
      <w:r w:rsidR="003D2EA5" w:rsidRPr="000A01D3">
        <w:rPr>
          <w:rFonts w:ascii="Arial" w:eastAsiaTheme="minorHAnsi" w:hAnsi="Arial" w:cs="Arial"/>
          <w:b/>
          <w:bCs/>
          <w:sz w:val="20"/>
        </w:rPr>
        <w:t xml:space="preserve"> </w:t>
      </w:r>
      <w:r w:rsidRPr="000A01D3">
        <w:rPr>
          <w:rFonts w:ascii="Arial" w:eastAsiaTheme="minorHAnsi" w:hAnsi="Arial" w:cs="Arial"/>
          <w:b/>
          <w:bCs/>
          <w:sz w:val="20"/>
        </w:rPr>
        <w:t>wymogów formalnych, tj.:</w:t>
      </w:r>
    </w:p>
    <w:p w:rsidR="00C95C77" w:rsidRDefault="00F22AA8" w:rsidP="00E849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wnioskodawcę statusu pracodawcy zgodnie z Kodeksem Pracy</w:t>
      </w:r>
      <w:r w:rsidR="00E8496B">
        <w:rPr>
          <w:rFonts w:ascii="Arial" w:eastAsiaTheme="minorHAnsi" w:hAnsi="Arial" w:cs="Arial"/>
          <w:sz w:val="20"/>
        </w:rPr>
        <w:t xml:space="preserve"> </w:t>
      </w:r>
      <w:r w:rsidR="00C95C77">
        <w:rPr>
          <w:rFonts w:ascii="Arial" w:eastAsiaTheme="minorHAnsi" w:hAnsi="Arial" w:cs="Arial"/>
          <w:sz w:val="20"/>
        </w:rPr>
        <w:t xml:space="preserve">i ustawą </w:t>
      </w:r>
    </w:p>
    <w:p w:rsidR="00F22AA8" w:rsidRPr="00E8496B" w:rsidRDefault="00F22AA8" w:rsidP="00C95C7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E8496B">
        <w:rPr>
          <w:rFonts w:ascii="Arial" w:eastAsiaTheme="minorHAnsi" w:hAnsi="Arial" w:cs="Arial"/>
          <w:sz w:val="20"/>
        </w:rPr>
        <w:t>o promocji zatrudnienia i instytucjach rynku pracy;</w:t>
      </w:r>
    </w:p>
    <w:p w:rsidR="00F22AA8" w:rsidRPr="000A01D3" w:rsidRDefault="00F22AA8" w:rsidP="003D2E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uczestnika planowanego do objęcia kształceniem statusu pracownika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(lub pracodawcy) zgodnie z Kodeksem Pracy;</w:t>
      </w:r>
    </w:p>
    <w:p w:rsidR="00F22AA8" w:rsidRPr="000A01D3" w:rsidRDefault="00F22AA8" w:rsidP="003D2E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pracodawcę siedziby lub miejsca prowadzenia działalności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 xml:space="preserve">gospodarczej na terenie </w:t>
      </w:r>
      <w:r w:rsidR="003D2EA5" w:rsidRPr="000A01D3">
        <w:rPr>
          <w:rFonts w:ascii="Arial" w:eastAsiaTheme="minorHAnsi" w:hAnsi="Arial" w:cs="Arial"/>
          <w:sz w:val="20"/>
        </w:rPr>
        <w:t>powiatu  limanowskiego</w:t>
      </w:r>
      <w:r w:rsidRPr="000A01D3">
        <w:rPr>
          <w:rFonts w:ascii="Arial" w:eastAsiaTheme="minorHAnsi" w:hAnsi="Arial" w:cs="Arial"/>
          <w:sz w:val="20"/>
        </w:rPr>
        <w:t>;</w:t>
      </w:r>
    </w:p>
    <w:p w:rsidR="003D2EA5" w:rsidRPr="000A01D3" w:rsidRDefault="00F22AA8" w:rsidP="003D2EA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złożenia kompletnego wniosku wraz z niezbędnymi załącznikami;</w:t>
      </w:r>
    </w:p>
    <w:p w:rsidR="003D2EA5" w:rsidRPr="000A01D3" w:rsidRDefault="003D2EA5" w:rsidP="003D2EA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zgodności planowanych działań edukacyjnych z ustalonymi priory</w:t>
      </w:r>
      <w:r w:rsidR="00C67933">
        <w:rPr>
          <w:rFonts w:ascii="Arial" w:eastAsiaTheme="minorHAnsi" w:hAnsi="Arial" w:cs="Arial"/>
          <w:sz w:val="20"/>
        </w:rPr>
        <w:t>tetami wydatkowania środków KFS;</w:t>
      </w:r>
    </w:p>
    <w:p w:rsidR="00C67933" w:rsidRPr="00C67933" w:rsidRDefault="003D2EA5" w:rsidP="00C67933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możliwości sfinansowania ze środków KFS działań określonych we wniosku z uwz</w:t>
      </w:r>
      <w:r w:rsidR="00C67933">
        <w:rPr>
          <w:rFonts w:ascii="Arial" w:eastAsiaTheme="minorHAnsi" w:hAnsi="Arial" w:cs="Arial"/>
          <w:sz w:val="20"/>
        </w:rPr>
        <w:t>ględnieniem limitów finansowych.</w:t>
      </w:r>
    </w:p>
    <w:p w:rsidR="003D2EA5" w:rsidRPr="000A01D3" w:rsidRDefault="003D2EA5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przypadku uzyskania pozytywnej oceny formalnej wniosek zostaje przekazany do oceny merytorycznej.</w:t>
      </w:r>
    </w:p>
    <w:p w:rsidR="00012712" w:rsidRPr="00E6758D" w:rsidRDefault="003D2EA5" w:rsidP="00E675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przypadku uzyskania negatywnej opinii z przyczyn formalnych, wniosek pracodawcy na tym etapie zostanie odrzucony.</w:t>
      </w:r>
    </w:p>
    <w:p w:rsidR="00012712" w:rsidRPr="000A01D3" w:rsidRDefault="00012712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3D2EA5" w:rsidRPr="00012712" w:rsidRDefault="003D2EA5" w:rsidP="00012712">
      <w:pPr>
        <w:pStyle w:val="Akapitzlist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  <w:r w:rsidRPr="000A01D3">
        <w:rPr>
          <w:rFonts w:ascii="Arial" w:eastAsiaTheme="minorHAnsi" w:hAnsi="Arial" w:cs="Arial"/>
          <w:b/>
          <w:bCs/>
          <w:sz w:val="20"/>
        </w:rPr>
        <w:t>Ocena merytoryczna wniosku jest dokonywana w oparciu o następujące kryteria:</w:t>
      </w:r>
    </w:p>
    <w:p w:rsidR="00012712" w:rsidRDefault="00012712" w:rsidP="00012712">
      <w:pPr>
        <w:pStyle w:val="Akapitzlist"/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</w:p>
    <w:p w:rsidR="002169F2" w:rsidRPr="00C95C77" w:rsidRDefault="002169F2" w:rsidP="00C95C77">
      <w:pPr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</w:p>
    <w:tbl>
      <w:tblPr>
        <w:tblStyle w:val="Tabela-Siatka"/>
        <w:tblW w:w="9775" w:type="dxa"/>
        <w:tblInd w:w="-289" w:type="dxa"/>
        <w:tblLook w:val="04A0" w:firstRow="1" w:lastRow="0" w:firstColumn="1" w:lastColumn="0" w:noHBand="0" w:noVBand="1"/>
        <w:tblCaption w:val="Tabela"/>
      </w:tblPr>
      <w:tblGrid>
        <w:gridCol w:w="426"/>
        <w:gridCol w:w="1851"/>
        <w:gridCol w:w="1976"/>
        <w:gridCol w:w="3810"/>
        <w:gridCol w:w="11"/>
        <w:gridCol w:w="574"/>
        <w:gridCol w:w="1116"/>
        <w:gridCol w:w="11"/>
      </w:tblGrid>
      <w:tr w:rsidR="0098017D" w:rsidTr="001A5A38">
        <w:trPr>
          <w:trHeight w:val="685"/>
          <w:tblHeader/>
        </w:trPr>
        <w:tc>
          <w:tcPr>
            <w:tcW w:w="8074" w:type="dxa"/>
            <w:gridSpan w:val="5"/>
          </w:tcPr>
          <w:p w:rsidR="000A01D3" w:rsidRDefault="000A01D3" w:rsidP="000A01D3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0A01D3" w:rsidRDefault="0098017D" w:rsidP="000A01D3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KRYTERIA NOCENY WNIOSKU</w:t>
            </w:r>
          </w:p>
        </w:tc>
        <w:tc>
          <w:tcPr>
            <w:tcW w:w="1701" w:type="dxa"/>
            <w:gridSpan w:val="3"/>
          </w:tcPr>
          <w:p w:rsidR="0098017D" w:rsidRDefault="0098017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LICZBA PUNKTÓW</w:t>
            </w:r>
          </w:p>
        </w:tc>
      </w:tr>
      <w:tr w:rsidR="0098017D" w:rsidTr="00C123BD">
        <w:trPr>
          <w:gridAfter w:val="1"/>
          <w:wAfter w:w="11" w:type="dxa"/>
          <w:trHeight w:val="2627"/>
        </w:trPr>
        <w:tc>
          <w:tcPr>
            <w:tcW w:w="426" w:type="dxa"/>
          </w:tcPr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98017D" w:rsidRP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1.</w:t>
            </w:r>
          </w:p>
        </w:tc>
        <w:tc>
          <w:tcPr>
            <w:tcW w:w="3827" w:type="dxa"/>
            <w:gridSpan w:val="2"/>
          </w:tcPr>
          <w:p w:rsidR="0098017D" w:rsidRPr="000A01D3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Zgodność kompetencji nabywanych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przez uczestników kształcenia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ustawicznego z potrzebami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lokalnego rynku pracy, co oznacza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zgodność z aktualnymi standardami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kwalifikacji w danym zawodzie,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biorąc pod uwagę m.in. zakres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programowy szkolenia, stosowanie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nowoczesnych narzędzi</w:t>
            </w:r>
          </w:p>
          <w:p w:rsidR="00C123BD" w:rsidRPr="00C123BD" w:rsidRDefault="0098017D" w:rsidP="002F75A0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i technologii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5 pkt</w:t>
            </w:r>
          </w:p>
        </w:tc>
        <w:tc>
          <w:tcPr>
            <w:tcW w:w="3810" w:type="dxa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zgodność zaproponowanego przez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pracodawcę programu kształcenia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ze stan</w:t>
            </w:r>
            <w:r w:rsidR="00C123BD">
              <w:rPr>
                <w:rFonts w:ascii="Arial" w:eastAsiaTheme="minorHAnsi" w:hAnsi="Arial" w:cs="Arial"/>
                <w:sz w:val="19"/>
                <w:szCs w:val="19"/>
              </w:rPr>
              <w:t>dardami kwalifikacji zawodowych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uzyskane umiejętności zapewniają rozwój kompetencji dostosowanych do potrzeb lokalnego rynku pracy</w:t>
            </w:r>
          </w:p>
          <w:p w:rsidR="00C123BD" w:rsidRPr="00D23AEE" w:rsidRDefault="00C123B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</w:tc>
        <w:tc>
          <w:tcPr>
            <w:tcW w:w="1701" w:type="dxa"/>
            <w:gridSpan w:val="3"/>
          </w:tcPr>
          <w:p w:rsidR="0098017D" w:rsidRPr="002F75A0" w:rsidRDefault="0098017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  <w:r w:rsidRPr="000A01D3">
              <w:rPr>
                <w:rFonts w:ascii="Arial" w:eastAsiaTheme="minorHAnsi" w:hAnsi="Arial" w:cs="Arial"/>
                <w:bCs/>
                <w:sz w:val="20"/>
              </w:rPr>
              <w:t>0-5 pkt</w:t>
            </w:r>
          </w:p>
        </w:tc>
      </w:tr>
      <w:tr w:rsidR="0098017D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C95C77">
            <w:pPr>
              <w:tabs>
                <w:tab w:val="left" w:pos="284"/>
              </w:tabs>
              <w:spacing w:before="3600"/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2.</w:t>
            </w:r>
          </w:p>
        </w:tc>
        <w:tc>
          <w:tcPr>
            <w:tcW w:w="1851" w:type="dxa"/>
            <w:vMerge w:val="restart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C95C77">
            <w:pPr>
              <w:autoSpaceDE w:val="0"/>
              <w:autoSpaceDN w:val="0"/>
              <w:adjustRightInd w:val="0"/>
              <w:spacing w:before="3600"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Koszty usługi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ustawicznego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wskazanej do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sfinansowania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ze środków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KFS</w:t>
            </w:r>
          </w:p>
          <w:p w:rsidR="002F75A0" w:rsidRPr="000A01D3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(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maks. 20 pkt),</w:t>
            </w:r>
          </w:p>
          <w:p w:rsidR="00D23AEE" w:rsidRPr="000A01D3" w:rsidRDefault="00D23AEE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D23AEE" w:rsidRPr="000A01D3" w:rsidRDefault="00D23AEE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w tym: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1) porównanie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wskazanej ceny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do średniej ceny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 ramach KFS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 202</w:t>
            </w:r>
            <w:r w:rsidR="002169F2"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4</w:t>
            </w: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 xml:space="preserve"> r.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- maksymalnie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10 pkt. Średni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koszt jednostkowy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w 202</w:t>
            </w:r>
            <w:r w:rsidR="002169F2" w:rsidRPr="003D73A4">
              <w:rPr>
                <w:rFonts w:ascii="Arial" w:eastAsiaTheme="minorHAnsi" w:hAnsi="Arial" w:cs="Arial"/>
                <w:sz w:val="19"/>
                <w:szCs w:val="19"/>
              </w:rPr>
              <w:t>4</w:t>
            </w:r>
            <w:r w:rsidRPr="003D73A4">
              <w:rPr>
                <w:rFonts w:ascii="Arial" w:eastAsiaTheme="minorHAnsi" w:hAnsi="Arial" w:cs="Arial"/>
                <w:sz w:val="19"/>
                <w:szCs w:val="19"/>
              </w:rPr>
              <w:t xml:space="preserve"> r. wyniósł</w:t>
            </w:r>
          </w:p>
          <w:p w:rsidR="0098017D" w:rsidRPr="003D73A4" w:rsidRDefault="002169F2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sz w:val="19"/>
                <w:szCs w:val="19"/>
              </w:rPr>
              <w:t>2304,00</w:t>
            </w:r>
            <w:r w:rsidR="0098017D" w:rsidRPr="003D73A4">
              <w:rPr>
                <w:rFonts w:ascii="Arial" w:eastAsiaTheme="minorHAnsi" w:hAnsi="Arial" w:cs="Arial"/>
                <w:b/>
                <w:sz w:val="19"/>
                <w:szCs w:val="19"/>
              </w:rPr>
              <w:t xml:space="preserve"> zł,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co stanowi 100%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badanej ceny.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 xml:space="preserve">* </w:t>
            </w: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Uwaga: średni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koszt jednostkowy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 ramach KFS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 202</w:t>
            </w:r>
            <w:r w:rsid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4</w:t>
            </w: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 xml:space="preserve"> r. został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wyliczony jako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stosunek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wydatków środków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KFS do liczby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osób objętych</w:t>
            </w:r>
          </w:p>
          <w:p w:rsidR="0098017D" w:rsidRPr="00E6758D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FF0000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wsparciem.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511" w:type="dxa"/>
            <w:gridSpan w:val="4"/>
          </w:tcPr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do </w:t>
            </w:r>
            <w:r w:rsid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1152</w:t>
            </w:r>
            <w:r w:rsidR="004E5EE6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(&lt;50% średniego kosztu jednostkowego) - 10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2169F2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11</w:t>
            </w:r>
            <w:r w:rsidR="002169F2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52</w:t>
            </w:r>
            <w:r w:rsidR="00FE3081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  <w:r w:rsidR="007D3B1C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do </w:t>
            </w:r>
            <w:r w:rsidR="00FE3081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</w:t>
            </w:r>
            <w:r w:rsidR="002169F2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728</w:t>
            </w:r>
            <w:r w:rsidR="00FE3081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="007D3B1C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zł</w:t>
            </w:r>
          </w:p>
          <w:p w:rsidR="0098017D" w:rsidRPr="002169F2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sz w:val="20"/>
                <w:szCs w:val="20"/>
              </w:rPr>
              <w:t>(50-75% średniego kosztu jednostkowego) - 9 pkt</w:t>
            </w:r>
          </w:p>
          <w:p w:rsidR="007D3B1C" w:rsidRPr="002169F2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2169F2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2169F2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1728,00</w:t>
            </w: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</w:t>
            </w:r>
            <w:r w:rsidR="007D3B1C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–</w:t>
            </w: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2169F2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2304,00</w:t>
            </w: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2169F2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sz w:val="20"/>
                <w:szCs w:val="20"/>
              </w:rPr>
              <w:t>(75-100% średniego kosztu jednostkowego) - 8 pkt</w:t>
            </w:r>
          </w:p>
          <w:p w:rsidR="007D3B1C" w:rsidRPr="002169F2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2169F2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</w:t>
            </w:r>
            <w:r w:rsidR="002169F2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304</w:t>
            </w:r>
            <w:r w:rsidR="00FE3081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</w:t>
            </w:r>
            <w:r w:rsidR="007D3B1C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00</w:t>
            </w: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2169F2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2880</w:t>
            </w:r>
            <w:r w:rsidR="00FE3081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2169F2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sz w:val="20"/>
                <w:szCs w:val="20"/>
              </w:rPr>
              <w:t>(100-125% średniego kosztu jednostkowego) - 7 pkt</w:t>
            </w:r>
          </w:p>
          <w:p w:rsidR="007D3B1C" w:rsidRPr="00E6758D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2880</w:t>
            </w:r>
            <w:r w:rsidR="00FE308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3456</w:t>
            </w:r>
            <w:r w:rsidR="004E5EE6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(125-1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50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% średniego kosztu jednostkowego) - 6 pkt</w:t>
            </w:r>
          </w:p>
          <w:p w:rsidR="007D3B1C" w:rsidRPr="003D73A4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456</w:t>
            </w:r>
            <w:r w:rsidR="004E5EE6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4032</w:t>
            </w:r>
            <w:r w:rsidR="00FE308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(1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50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175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% średniego kosztu jednostkowego) - 5 pkt</w:t>
            </w:r>
          </w:p>
          <w:p w:rsidR="007D3B1C" w:rsidRPr="003D73A4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4032</w:t>
            </w:r>
            <w:r w:rsidR="00FE308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4608</w:t>
            </w:r>
            <w:r w:rsidR="00FE308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175-200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% średniego kosztu jednostkowego) - 4 pkt</w:t>
            </w:r>
          </w:p>
          <w:p w:rsidR="007D3B1C" w:rsidRPr="003D73A4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4608</w:t>
            </w:r>
            <w:r w:rsidR="00D23AEE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5184</w:t>
            </w:r>
            <w:r w:rsidR="00FE308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200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225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% średniego kosztu jednostkowego) - 3 pkt</w:t>
            </w:r>
          </w:p>
          <w:p w:rsidR="007D3B1C" w:rsidRPr="003D73A4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5184</w:t>
            </w:r>
            <w:r w:rsidR="00FE308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5760</w:t>
            </w:r>
            <w:r w:rsidR="00FE308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225-250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% średniego kosztu jednostkowego) - 2 pkt</w:t>
            </w:r>
          </w:p>
          <w:p w:rsidR="007D3B1C" w:rsidRPr="003D73A4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5760</w:t>
            </w:r>
            <w:r w:rsidR="004E5EE6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6912</w:t>
            </w:r>
            <w:r w:rsidR="00C15FC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250-300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% średniego kosztu jednostkowego) - 1 pkt</w:t>
            </w:r>
          </w:p>
          <w:p w:rsidR="007D3B1C" w:rsidRPr="003D73A4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6912</w:t>
            </w:r>
            <w:r w:rsidR="00C15FC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D23AEE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(&gt;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300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% średniego kosztu jednostkowego) - 0 pkt</w:t>
            </w:r>
          </w:p>
        </w:tc>
      </w:tr>
      <w:tr w:rsidR="00451EBA" w:rsidTr="000A01D3">
        <w:trPr>
          <w:gridAfter w:val="1"/>
          <w:wAfter w:w="11" w:type="dxa"/>
          <w:trHeight w:val="1042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 w:val="restart"/>
          </w:tcPr>
          <w:p w:rsidR="000A01D3" w:rsidRPr="00D23AEE" w:rsidRDefault="000A01D3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2) porównanie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wskazanej ceny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 do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porównywalnych usług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dostępnych na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rynku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- maks.10 pkt</w:t>
            </w:r>
          </w:p>
        </w:tc>
        <w:tc>
          <w:tcPr>
            <w:tcW w:w="4395" w:type="dxa"/>
            <w:gridSpan w:val="3"/>
          </w:tcPr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cena planowanego kształcenia jest konkurencyjna,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tj. poniżej cen porównywalnych usług kształcenia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6-10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cena planowanego kształcenia jest rynkowa,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tj. w granicach cen porównywalnych usług</w:t>
            </w:r>
          </w:p>
          <w:p w:rsidR="00451EBA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kształcenia dostępnych na rynku</w:t>
            </w:r>
          </w:p>
          <w:p w:rsidR="002F75A0" w:rsidRPr="00D23AEE" w:rsidRDefault="002F75A0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3) cena planowanego kształcenia jest wyższa niż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ceny rynkowe porównywalnych usług kształcenia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lastRenderedPageBreak/>
              <w:t>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1-4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4) cena planowanego kształcenia jest znacznie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wyższa niż ceny rynkowe porównywalnych usług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kształcenia 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451EBA" w:rsidTr="002F75A0">
        <w:trPr>
          <w:gridAfter w:val="1"/>
          <w:wAfter w:w="11" w:type="dxa"/>
          <w:trHeight w:val="1212"/>
        </w:trPr>
        <w:tc>
          <w:tcPr>
            <w:tcW w:w="426" w:type="dxa"/>
            <w:vMerge w:val="restart"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3.</w:t>
            </w:r>
          </w:p>
        </w:tc>
        <w:tc>
          <w:tcPr>
            <w:tcW w:w="3827" w:type="dxa"/>
            <w:gridSpan w:val="2"/>
            <w:vMerge w:val="restart"/>
          </w:tcPr>
          <w:p w:rsidR="00D23AEE" w:rsidRPr="000A01D3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Posiadanie przez realizatora usługi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 ustawicznego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finansowanej ze środków KFS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certyfikatów jakości oferowanych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usług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10 pkt</w:t>
            </w:r>
          </w:p>
          <w:p w:rsidR="002F75A0" w:rsidRPr="00D23AEE" w:rsidRDefault="002F75A0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</w:pP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 xml:space="preserve">* </w:t>
            </w: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Uwaga: w powyższym kryterium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będą uwzględniane: certyfikaty jakości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ISO, Akredytacja Kuratora Oświaty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oraz inne certyfikaty ściśle związane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z potwierdzeniem wysokiej jakości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usług w zakresie kształcenia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ustawicznego wydane przez instytucje</w:t>
            </w:r>
          </w:p>
          <w:p w:rsidR="00451EBA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niezależne od realizatora usługi.</w:t>
            </w:r>
          </w:p>
          <w:p w:rsidR="00D23AEE" w:rsidRP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posiadanie przez realizatora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ustawicznego co najmniej dwóch certyfikatów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10 pkt</w:t>
            </w:r>
          </w:p>
        </w:tc>
      </w:tr>
      <w:tr w:rsidR="00451EBA" w:rsidTr="00D23AEE">
        <w:trPr>
          <w:gridAfter w:val="1"/>
          <w:wAfter w:w="11" w:type="dxa"/>
          <w:trHeight w:val="1213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posiadanie przez realizatora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ustawicznego jednego certyfikatu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5 pkt</w:t>
            </w:r>
          </w:p>
        </w:tc>
      </w:tr>
      <w:tr w:rsidR="00451EBA" w:rsidTr="000A01D3">
        <w:trPr>
          <w:gridAfter w:val="1"/>
          <w:wAfter w:w="11" w:type="dxa"/>
          <w:trHeight w:val="826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3) brak certyfikatów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1A5A38">
            <w:pPr>
              <w:tabs>
                <w:tab w:val="left" w:pos="284"/>
              </w:tabs>
              <w:spacing w:before="3240"/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4.</w:t>
            </w:r>
          </w:p>
        </w:tc>
        <w:tc>
          <w:tcPr>
            <w:tcW w:w="3827" w:type="dxa"/>
            <w:gridSpan w:val="2"/>
            <w:vMerge w:val="restart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1A5A38">
            <w:pPr>
              <w:autoSpaceDE w:val="0"/>
              <w:autoSpaceDN w:val="0"/>
              <w:adjustRightInd w:val="0"/>
              <w:spacing w:before="2760"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Plany dotyczące dalszego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zatrudnienia osób, które będą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objęte kształceniem ustawicznym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finansowanym ze środków KFS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maksymalnie 15 pkt,</w:t>
            </w: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w tym: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pkt 1-3 dotyczy kształcenia</w:t>
            </w:r>
          </w:p>
          <w:p w:rsidR="00451EBA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P</w:t>
            </w:r>
            <w:r w:rsidR="00451EBA"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racowników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,</w:t>
            </w: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pkt 4 dotyczy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pracodawcy</w:t>
            </w:r>
          </w:p>
        </w:tc>
        <w:tc>
          <w:tcPr>
            <w:tcW w:w="4395" w:type="dxa"/>
            <w:gridSpan w:val="3"/>
          </w:tcPr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1) wysoki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- pracodawca deklaruje stałe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zatrudnienie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pracownika zatrudnionego na umowę o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pracę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na czas określony,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zmianę stano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wiska pracy/poszerzenie zakresu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obowiązków zawodowych zgodnie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z kierunkiem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kształcenia,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wzrost wynagrodzenia za pracę,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rozwój zawodowy poprzez dalsze kształcenie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pracownika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11-15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2) średni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 deklaruje zatrudnienie pracownika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na co najmniej jeden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rok lub utrzymanie zatrudnienia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dla pracownika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zatrudnionego na umowę o pracę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na czas nieokreślony,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zmianę stanowiska pracy/poszerzenie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zakresu obowiązków zawodowych zgodnie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 kierunkiem kształcenia,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wzrost wynagrodzenia za pracę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6 - 10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3) niski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nie zawarł deklaracji dalszego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zatrudn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ienia pracownika lub deklaracja zatrudnienia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nie wskazuje okresu dalszego zatrudnienia,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- pracodawca nie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planuje zmiany stanowiska pracy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ani poszerzenia zakresu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obowiązków zawodowych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zgodnie z kierunkiem kształcenia</w:t>
            </w:r>
          </w:p>
          <w:p w:rsidR="00012712" w:rsidRPr="000A01D3" w:rsidRDefault="00012712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0-5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4) w prz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ypadku kształcenia ustawicznego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pracodawcy oceniane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będą plany, strategia i rozwój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firmy w okres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ie najbliższego roku,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lastRenderedPageBreak/>
              <w:t xml:space="preserve">powiązane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 ukończeniem wnioskowanego kształcenia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0-15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1A5A38">
            <w:pPr>
              <w:tabs>
                <w:tab w:val="left" w:pos="284"/>
              </w:tabs>
              <w:spacing w:before="1200"/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5.</w:t>
            </w:r>
          </w:p>
        </w:tc>
        <w:tc>
          <w:tcPr>
            <w:tcW w:w="3827" w:type="dxa"/>
            <w:gridSpan w:val="2"/>
            <w:vMerge w:val="restart"/>
          </w:tcPr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1A5A38">
            <w:pPr>
              <w:autoSpaceDE w:val="0"/>
              <w:autoSpaceDN w:val="0"/>
              <w:adjustRightInd w:val="0"/>
              <w:spacing w:before="480"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Cs w:val="19"/>
              </w:rPr>
              <w:t>Uzasadnienie potrzeby odbycia</w:t>
            </w:r>
            <w:r w:rsidR="002F75A0" w:rsidRPr="000A01D3">
              <w:rPr>
                <w:rFonts w:ascii="Arial" w:eastAsiaTheme="minorHAnsi" w:hAnsi="Arial" w:cs="Arial"/>
                <w:b/>
                <w:bCs/>
                <w:szCs w:val="19"/>
              </w:rPr>
              <w:t xml:space="preserve"> </w:t>
            </w:r>
            <w:r w:rsidRPr="000A01D3">
              <w:rPr>
                <w:rFonts w:ascii="Arial" w:eastAsiaTheme="minorHAnsi" w:hAnsi="Arial" w:cs="Arial"/>
                <w:b/>
                <w:bCs/>
                <w:szCs w:val="19"/>
              </w:rPr>
              <w:t>kształcenia ustawiczneg</w:t>
            </w:r>
            <w:r w:rsidR="002F75A0" w:rsidRPr="000A01D3">
              <w:rPr>
                <w:rFonts w:ascii="Arial" w:eastAsiaTheme="minorHAnsi" w:hAnsi="Arial" w:cs="Arial"/>
                <w:b/>
                <w:bCs/>
                <w:szCs w:val="19"/>
              </w:rPr>
              <w:t>o przez pracownika lub pracodawcę, przy uwzględnieniu obecnych l</w:t>
            </w:r>
            <w:r w:rsidRPr="000A01D3">
              <w:rPr>
                <w:rFonts w:ascii="Arial" w:eastAsiaTheme="minorHAnsi" w:hAnsi="Arial" w:cs="Arial"/>
                <w:b/>
                <w:bCs/>
                <w:szCs w:val="19"/>
              </w:rPr>
              <w:t>ub przyszłych potrzeb pracodawcy</w:t>
            </w:r>
          </w:p>
          <w:p w:rsidR="002F75A0" w:rsidRPr="000A01D3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Cs w:val="19"/>
              </w:rPr>
            </w:pPr>
          </w:p>
          <w:p w:rsidR="003E7D8D" w:rsidRPr="00D23AEE" w:rsidRDefault="003E7D8D" w:rsidP="002F75A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Cs w:val="19"/>
              </w:rPr>
              <w:t>- maksymalnie 30 pkt</w:t>
            </w: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1) wysoki poziom uzasadnienia, w tym m.in.: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jest niezbędne/wymagane przepisami prawa do wykonywania obowiązków zawodowych,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zwiększy kwalifikacje i umiejętności pracownika lub pracodawcy,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wpłynie na konkurencyjność, rozwój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firmy i jakość świadczonych usług,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przyczyni się do utrzymania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zatrudnienia/awansowania/rozwoju zawodowego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osób objętych wsparciem,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informacja na temat posiadanego sprzętu,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urządzeń, maszyn,  </w:t>
            </w:r>
            <w:r w:rsidRPr="000A01D3">
              <w:rPr>
                <w:rFonts w:ascii="Arial" w:eastAsiaTheme="minorHAnsi" w:hAnsi="Arial" w:cs="Arial"/>
                <w:i/>
                <w:sz w:val="19"/>
                <w:szCs w:val="19"/>
              </w:rPr>
              <w:t>np. ilość posiadanych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i/>
                <w:sz w:val="19"/>
                <w:szCs w:val="19"/>
              </w:rPr>
              <w:t>samochodów ciężarowych w przypadku kształcenia w zakresie prawa jazdy kat. C, CE z kwalifikacją wstępną przyspieszoną lub planów dotyczących ich zakupu (z podaniem konkretnego terminu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),</w:t>
            </w: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21-30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2) średni poziom uzasadnienia</w:t>
            </w: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– oceniany będzie stopień podanych informacji jak wyżej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11-20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3) niski poziom uzasadnienia</w:t>
            </w: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– oceniany będzie stopień podanych informacji jak wyżej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1-10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4) brak uzasadnienia</w:t>
            </w: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8648" w:type="dxa"/>
            <w:gridSpan w:val="6"/>
          </w:tcPr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Cs w:val="19"/>
              </w:rPr>
            </w:pPr>
          </w:p>
          <w:p w:rsidR="003E7D8D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szCs w:val="19"/>
              </w:rPr>
              <w:t>Maksymalna liczba punktów</w:t>
            </w:r>
          </w:p>
          <w:p w:rsidR="002F75A0" w:rsidRPr="00D23AEE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D23AE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80 pkt </w:t>
            </w:r>
          </w:p>
        </w:tc>
      </w:tr>
    </w:tbl>
    <w:p w:rsidR="00012712" w:rsidRDefault="00012712" w:rsidP="00F77F3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:rsidR="003E7D8D" w:rsidRPr="00E71E46" w:rsidRDefault="003E7D8D" w:rsidP="00F77F3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E71E46">
        <w:rPr>
          <w:rFonts w:ascii="Arial" w:eastAsiaTheme="minorHAnsi" w:hAnsi="Arial" w:cs="Arial"/>
          <w:b/>
          <w:bCs/>
          <w:sz w:val="20"/>
          <w:szCs w:val="20"/>
        </w:rPr>
        <w:t xml:space="preserve">a) </w:t>
      </w:r>
      <w:r w:rsidR="00E8496B">
        <w:rPr>
          <w:rFonts w:ascii="Arial" w:eastAsiaTheme="minorHAnsi" w:hAnsi="Arial" w:cs="Arial"/>
          <w:b/>
          <w:bCs/>
          <w:sz w:val="20"/>
          <w:szCs w:val="20"/>
        </w:rPr>
        <w:t xml:space="preserve">  </w:t>
      </w:r>
      <w:r w:rsidRPr="00E71E46">
        <w:rPr>
          <w:rFonts w:ascii="Arial" w:eastAsiaTheme="minorHAnsi" w:hAnsi="Arial" w:cs="Arial"/>
          <w:b/>
          <w:bCs/>
          <w:sz w:val="20"/>
          <w:szCs w:val="20"/>
        </w:rPr>
        <w:t>Łącznie wniosek może otrzymać maksymalnie 80 punktów.</w:t>
      </w:r>
    </w:p>
    <w:p w:rsidR="001A5A38" w:rsidRDefault="003E7D8D" w:rsidP="00F77F3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</w:rPr>
      </w:pPr>
      <w:r w:rsidRPr="00E71E46">
        <w:rPr>
          <w:rFonts w:ascii="Arial" w:eastAsiaTheme="minorHAnsi" w:hAnsi="Arial" w:cs="Arial"/>
          <w:b/>
          <w:bCs/>
          <w:sz w:val="20"/>
          <w:szCs w:val="20"/>
        </w:rPr>
        <w:t>b)</w:t>
      </w:r>
      <w:r w:rsidRPr="00E71E46">
        <w:rPr>
          <w:rFonts w:ascii="Arial" w:eastAsiaTheme="minorHAnsi" w:hAnsi="Arial" w:cs="Arial"/>
          <w:b/>
          <w:bCs/>
          <w:sz w:val="20"/>
        </w:rPr>
        <w:t xml:space="preserve"> Minimalna liczba punktów kwalifikująca wnios</w:t>
      </w:r>
      <w:r w:rsidR="002A03D9" w:rsidRPr="00E71E46">
        <w:rPr>
          <w:rFonts w:ascii="Arial" w:eastAsiaTheme="minorHAnsi" w:hAnsi="Arial" w:cs="Arial"/>
          <w:b/>
          <w:bCs/>
          <w:sz w:val="20"/>
        </w:rPr>
        <w:t>ek do przyznania dofinansowania</w:t>
      </w:r>
      <w:r w:rsidR="001A5A38">
        <w:rPr>
          <w:rFonts w:ascii="Arial" w:eastAsiaTheme="minorHAnsi" w:hAnsi="Arial" w:cs="Arial"/>
          <w:b/>
          <w:bCs/>
          <w:sz w:val="20"/>
        </w:rPr>
        <w:t xml:space="preserve"> </w:t>
      </w:r>
    </w:p>
    <w:p w:rsidR="00E22E03" w:rsidRPr="00E71E46" w:rsidRDefault="00E71E46" w:rsidP="00F77F3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</w:rPr>
      </w:pPr>
      <w:r>
        <w:rPr>
          <w:rFonts w:ascii="Arial" w:eastAsiaTheme="minorHAnsi" w:hAnsi="Arial" w:cs="Arial"/>
          <w:b/>
          <w:bCs/>
          <w:sz w:val="20"/>
        </w:rPr>
        <w:t>ze</w:t>
      </w:r>
      <w:r w:rsidR="00FB6C29">
        <w:rPr>
          <w:rFonts w:ascii="Arial" w:eastAsiaTheme="minorHAnsi" w:hAnsi="Arial" w:cs="Arial"/>
          <w:b/>
          <w:bCs/>
          <w:sz w:val="20"/>
        </w:rPr>
        <w:t xml:space="preserve">  </w:t>
      </w:r>
      <w:r w:rsidR="003E7D8D" w:rsidRPr="00E71E46">
        <w:rPr>
          <w:rFonts w:ascii="Arial" w:eastAsiaTheme="minorHAnsi" w:hAnsi="Arial" w:cs="Arial"/>
          <w:b/>
          <w:bCs/>
          <w:sz w:val="20"/>
        </w:rPr>
        <w:t>środków Krajowego Funduszu Szkoleniowego wynosi 40 punktów.</w:t>
      </w:r>
    </w:p>
    <w:p w:rsidR="002A03D9" w:rsidRPr="002A03D9" w:rsidRDefault="002A03D9" w:rsidP="002A03D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</w:p>
    <w:p w:rsidR="00E22E03" w:rsidRPr="00213502" w:rsidRDefault="00E22E03" w:rsidP="00213502">
      <w:pPr>
        <w:pStyle w:val="Akapitzlist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 dokonaniu oceny formalnej i merytorycznej wniosku zostanie sporządzony ranking</w:t>
      </w:r>
      <w:r w:rsidR="00213502">
        <w:rPr>
          <w:rFonts w:ascii="Arial" w:eastAsiaTheme="minorHAnsi" w:hAnsi="Arial" w:cs="Arial"/>
          <w:sz w:val="20"/>
        </w:rPr>
        <w:t xml:space="preserve"> </w:t>
      </w:r>
      <w:r w:rsidRPr="00213502">
        <w:rPr>
          <w:rFonts w:ascii="Arial" w:eastAsiaTheme="minorHAnsi" w:hAnsi="Arial" w:cs="Arial"/>
          <w:sz w:val="20"/>
        </w:rPr>
        <w:t xml:space="preserve">punktowy </w:t>
      </w:r>
      <w:r w:rsidR="00213502">
        <w:rPr>
          <w:rFonts w:ascii="Arial" w:eastAsiaTheme="minorHAnsi" w:hAnsi="Arial" w:cs="Arial"/>
          <w:sz w:val="20"/>
        </w:rPr>
        <w:t xml:space="preserve"> </w:t>
      </w:r>
      <w:r w:rsidRPr="00213502">
        <w:rPr>
          <w:rFonts w:ascii="Arial" w:eastAsiaTheme="minorHAnsi" w:hAnsi="Arial" w:cs="Arial"/>
          <w:sz w:val="20"/>
        </w:rPr>
        <w:t>wszystkich złożonych wniosków.</w:t>
      </w:r>
    </w:p>
    <w:p w:rsidR="00E22E03" w:rsidRPr="00DA0E1B" w:rsidRDefault="00E22E03" w:rsidP="00A63714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DA0E1B">
        <w:rPr>
          <w:rFonts w:ascii="Arial" w:eastAsiaTheme="minorHAnsi" w:hAnsi="Arial" w:cs="Arial"/>
          <w:sz w:val="20"/>
        </w:rPr>
        <w:t xml:space="preserve">W sytuacji, kiedy rozpatrzone wnioski w ocenie merytorycznej uzyskają minimalną liczbę punktów kwalifikującą je do przyznania środków z KFS, a limit finansowy będzie niewystarczający na pokrycie całego zapotrzebowania, wówczas </w:t>
      </w:r>
      <w:r w:rsidR="00A63714" w:rsidRPr="00DA0E1B">
        <w:rPr>
          <w:rFonts w:ascii="Arial" w:eastAsiaTheme="minorHAnsi" w:hAnsi="Arial" w:cs="Arial"/>
          <w:sz w:val="20"/>
        </w:rPr>
        <w:t>dofinansowanie zostanie przyznane wnioskodawcy, który dotychczas nie korzystał ze środków KFS</w:t>
      </w:r>
      <w:r w:rsidRPr="00DA0E1B">
        <w:rPr>
          <w:rFonts w:ascii="Arial" w:eastAsiaTheme="minorHAnsi" w:hAnsi="Arial" w:cs="Arial"/>
          <w:sz w:val="20"/>
        </w:rPr>
        <w:t>.</w:t>
      </w:r>
    </w:p>
    <w:p w:rsidR="00E22E03" w:rsidRPr="000A01D3" w:rsidRDefault="00E22E03" w:rsidP="000A01D3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Dofinansowanie w ramach środków KFS zostan</w:t>
      </w:r>
      <w:r w:rsidR="00127D1D" w:rsidRPr="000A01D3">
        <w:rPr>
          <w:rFonts w:ascii="Arial" w:eastAsiaTheme="minorHAnsi" w:hAnsi="Arial" w:cs="Arial"/>
          <w:sz w:val="20"/>
        </w:rPr>
        <w:t>ie przyznane pracodawcom, którzy</w:t>
      </w:r>
      <w:r w:rsid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uzyskają najwyższą liczbę punktów i podpiszą umowę z Urzędem Pracy w zakresie finansowania działań na rzecz kształcenia ustawicznego pracowników i pracodawców.</w:t>
      </w:r>
    </w:p>
    <w:p w:rsidR="001A5A38" w:rsidRDefault="00E22E03" w:rsidP="001A5A38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Środki Krajowego Funduszu Szkoleniowego są środkami publicznymi w rozumieniu </w:t>
      </w:r>
      <w:r w:rsidR="00127D1D" w:rsidRPr="000A01D3">
        <w:rPr>
          <w:rFonts w:ascii="Arial" w:eastAsiaTheme="minorHAnsi" w:hAnsi="Arial" w:cs="Arial"/>
          <w:sz w:val="20"/>
        </w:rPr>
        <w:t xml:space="preserve">  </w:t>
      </w:r>
      <w:r w:rsidRPr="000A01D3">
        <w:rPr>
          <w:rFonts w:ascii="Arial" w:eastAsiaTheme="minorHAnsi" w:hAnsi="Arial" w:cs="Arial"/>
          <w:sz w:val="20"/>
        </w:rPr>
        <w:t>ustawy finansach publicznych. Zgodnie z ustawą o podatku od towarów i usług oraz</w:t>
      </w:r>
      <w:r w:rsidR="00127D1D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rozporządzeniem Ministra Finansów w sprawie zwolnień od podatku od towarów i usług oraz warunków stosowania tych zwolnień, zwalnia si</w:t>
      </w:r>
      <w:r w:rsidR="00127D1D" w:rsidRPr="000A01D3">
        <w:rPr>
          <w:rFonts w:ascii="Arial" w:eastAsiaTheme="minorHAnsi" w:hAnsi="Arial" w:cs="Arial"/>
          <w:sz w:val="20"/>
        </w:rPr>
        <w:t xml:space="preserve">ę od podatku usługi kształcenia </w:t>
      </w:r>
      <w:r w:rsidRPr="000A01D3">
        <w:rPr>
          <w:rFonts w:ascii="Arial" w:eastAsiaTheme="minorHAnsi" w:hAnsi="Arial" w:cs="Arial"/>
          <w:sz w:val="20"/>
        </w:rPr>
        <w:t xml:space="preserve">zawodowego lub przekwalifikowania zawodowego finansowane </w:t>
      </w:r>
      <w:r w:rsid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 co najmniej 70</w:t>
      </w:r>
      <w:r w:rsidR="00127D1D" w:rsidRPr="000A01D3">
        <w:rPr>
          <w:rFonts w:ascii="Arial" w:eastAsiaTheme="minorHAnsi" w:hAnsi="Arial" w:cs="Arial"/>
          <w:sz w:val="20"/>
        </w:rPr>
        <w:t xml:space="preserve">% ze </w:t>
      </w:r>
      <w:r w:rsidR="00012712">
        <w:rPr>
          <w:rFonts w:ascii="Arial" w:eastAsiaTheme="minorHAnsi" w:hAnsi="Arial" w:cs="Arial"/>
          <w:sz w:val="20"/>
        </w:rPr>
        <w:t>środków publicznych.</w:t>
      </w:r>
    </w:p>
    <w:p w:rsidR="00E71E46" w:rsidRPr="001A5A38" w:rsidRDefault="00E71E46" w:rsidP="001A5A38">
      <w:pPr>
        <w:tabs>
          <w:tab w:val="left" w:pos="426"/>
        </w:tabs>
        <w:autoSpaceDE w:val="0"/>
        <w:autoSpaceDN w:val="0"/>
        <w:adjustRightInd w:val="0"/>
        <w:spacing w:before="480" w:after="0" w:line="240" w:lineRule="auto"/>
        <w:jc w:val="right"/>
        <w:rPr>
          <w:rFonts w:ascii="Arial" w:eastAsiaTheme="minorHAnsi" w:hAnsi="Arial" w:cs="Arial"/>
          <w:sz w:val="20"/>
        </w:rPr>
      </w:pPr>
      <w:r w:rsidRPr="001A5A38">
        <w:rPr>
          <w:rFonts w:ascii="Arial Narrow" w:hAnsi="Arial Narrow"/>
          <w:b/>
          <w:sz w:val="16"/>
          <w:szCs w:val="16"/>
        </w:rPr>
        <w:t>ZATWIERDZIŁ:</w:t>
      </w:r>
    </w:p>
    <w:p w:rsidR="00C5645D" w:rsidRDefault="00C5645D" w:rsidP="001A5A38">
      <w:pPr>
        <w:tabs>
          <w:tab w:val="left" w:pos="142"/>
        </w:tabs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z up. Starosty</w:t>
      </w:r>
    </w:p>
    <w:p w:rsidR="001A5A38" w:rsidRDefault="001A5A38" w:rsidP="001A5A38">
      <w:pPr>
        <w:tabs>
          <w:tab w:val="left" w:pos="142"/>
        </w:tabs>
        <w:spacing w:after="0" w:line="240" w:lineRule="auto"/>
        <w:ind w:left="709" w:hanging="567"/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</w:t>
      </w:r>
      <w:r w:rsidR="00C5645D">
        <w:rPr>
          <w:rFonts w:ascii="Arial Narrow" w:hAnsi="Arial Narrow"/>
          <w:b/>
          <w:sz w:val="16"/>
          <w:szCs w:val="16"/>
        </w:rPr>
        <w:t xml:space="preserve"> Marek Młynarczyk</w:t>
      </w:r>
    </w:p>
    <w:p w:rsidR="00C5645D" w:rsidRDefault="00C5645D" w:rsidP="001A5A38">
      <w:pPr>
        <w:tabs>
          <w:tab w:val="left" w:pos="142"/>
        </w:tabs>
        <w:spacing w:after="0" w:line="240" w:lineRule="auto"/>
        <w:ind w:left="709" w:hanging="567"/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Dyrektor </w:t>
      </w:r>
      <w:r w:rsidRPr="00C5645D">
        <w:rPr>
          <w:rFonts w:ascii="Arial Narrow" w:hAnsi="Arial Narrow"/>
          <w:b/>
          <w:sz w:val="16"/>
          <w:szCs w:val="16"/>
        </w:rPr>
        <w:t>PUP w</w:t>
      </w:r>
      <w:r>
        <w:rPr>
          <w:rFonts w:ascii="Arial Narrow" w:hAnsi="Arial Narrow"/>
          <w:b/>
          <w:sz w:val="16"/>
          <w:szCs w:val="16"/>
        </w:rPr>
        <w:t xml:space="preserve"> Limanowej</w:t>
      </w:r>
    </w:p>
    <w:sectPr w:rsidR="00C5645D" w:rsidSect="00C95C77">
      <w:headerReference w:type="first" r:id="rId8"/>
      <w:pgSz w:w="11906" w:h="16838"/>
      <w:pgMar w:top="1417" w:right="1417" w:bottom="1276" w:left="141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C1" w:rsidRDefault="00FB3BC1" w:rsidP="002A03D9">
      <w:pPr>
        <w:spacing w:after="0" w:line="240" w:lineRule="auto"/>
      </w:pPr>
      <w:r>
        <w:separator/>
      </w:r>
    </w:p>
  </w:endnote>
  <w:endnote w:type="continuationSeparator" w:id="0">
    <w:p w:rsidR="00FB3BC1" w:rsidRDefault="00FB3BC1" w:rsidP="002A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C1" w:rsidRDefault="00FB3BC1" w:rsidP="002A03D9">
      <w:pPr>
        <w:spacing w:after="0" w:line="240" w:lineRule="auto"/>
      </w:pPr>
      <w:r>
        <w:separator/>
      </w:r>
    </w:p>
  </w:footnote>
  <w:footnote w:type="continuationSeparator" w:id="0">
    <w:p w:rsidR="00FB3BC1" w:rsidRDefault="00FB3BC1" w:rsidP="002A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16" w:rsidRDefault="00C95C77" w:rsidP="00C95C77">
    <w:pPr>
      <w:pStyle w:val="Nagwek"/>
      <w:tabs>
        <w:tab w:val="clear" w:pos="4536"/>
        <w:tab w:val="clear" w:pos="9072"/>
        <w:tab w:val="left" w:pos="1200"/>
        <w:tab w:val="left" w:pos="6015"/>
      </w:tabs>
    </w:pPr>
    <w:r>
      <w:rPr>
        <w:noProof/>
        <w:lang w:eastAsia="pl-PL"/>
      </w:rPr>
      <w:drawing>
        <wp:inline distT="0" distB="0" distL="0" distR="0">
          <wp:extent cx="5760720" cy="1064260"/>
          <wp:effectExtent l="0" t="0" r="0" b="2540"/>
          <wp:docPr id="1" name="Obraz 1" descr="Pup Limanowa, KFS oraz Powiat Limanowski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owy Urząd Pracy w Limanowe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7151"/>
    <w:multiLevelType w:val="hybridMultilevel"/>
    <w:tmpl w:val="EF52D65E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286653"/>
    <w:multiLevelType w:val="hybridMultilevel"/>
    <w:tmpl w:val="A4528F9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725041"/>
    <w:multiLevelType w:val="hybridMultilevel"/>
    <w:tmpl w:val="3AB831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399B"/>
    <w:multiLevelType w:val="hybridMultilevel"/>
    <w:tmpl w:val="76AC0B70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D02088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4B74CE1"/>
    <w:multiLevelType w:val="hybridMultilevel"/>
    <w:tmpl w:val="6550153C"/>
    <w:lvl w:ilvl="0" w:tplc="2AFEB25E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53BAE"/>
    <w:multiLevelType w:val="hybridMultilevel"/>
    <w:tmpl w:val="D76E5018"/>
    <w:lvl w:ilvl="0" w:tplc="F268261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D6286D"/>
    <w:multiLevelType w:val="hybridMultilevel"/>
    <w:tmpl w:val="F5E4E570"/>
    <w:lvl w:ilvl="0" w:tplc="DE167B06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7A18D0"/>
    <w:multiLevelType w:val="hybridMultilevel"/>
    <w:tmpl w:val="8940F826"/>
    <w:lvl w:ilvl="0" w:tplc="2758E102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12F0D56"/>
    <w:multiLevelType w:val="hybridMultilevel"/>
    <w:tmpl w:val="78C81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432DC"/>
    <w:multiLevelType w:val="hybridMultilevel"/>
    <w:tmpl w:val="5C163D06"/>
    <w:lvl w:ilvl="0" w:tplc="52EA50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D1EA8F2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664A3"/>
    <w:multiLevelType w:val="hybridMultilevel"/>
    <w:tmpl w:val="30B63D2E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AA456E2"/>
    <w:multiLevelType w:val="hybridMultilevel"/>
    <w:tmpl w:val="B03EB474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C9D0374"/>
    <w:multiLevelType w:val="hybridMultilevel"/>
    <w:tmpl w:val="BAAC0658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02C104D"/>
    <w:multiLevelType w:val="hybridMultilevel"/>
    <w:tmpl w:val="13BEBDD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817551D"/>
    <w:multiLevelType w:val="hybridMultilevel"/>
    <w:tmpl w:val="9DB0F904"/>
    <w:lvl w:ilvl="0" w:tplc="D174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70CF0"/>
    <w:multiLevelType w:val="hybridMultilevel"/>
    <w:tmpl w:val="6A7A2CEC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F1A21AE">
      <w:numFmt w:val="bullet"/>
      <w:lvlText w:val=""/>
      <w:lvlJc w:val="left"/>
      <w:pPr>
        <w:ind w:left="1582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16F5A01"/>
    <w:multiLevelType w:val="hybridMultilevel"/>
    <w:tmpl w:val="0256FF68"/>
    <w:lvl w:ilvl="0" w:tplc="D174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4A7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47488"/>
    <w:multiLevelType w:val="hybridMultilevel"/>
    <w:tmpl w:val="AFF8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A67AD"/>
    <w:multiLevelType w:val="hybridMultilevel"/>
    <w:tmpl w:val="5546C3E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D02088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07F24DB"/>
    <w:multiLevelType w:val="hybridMultilevel"/>
    <w:tmpl w:val="55642F7C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D02088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E365DB7"/>
    <w:multiLevelType w:val="hybridMultilevel"/>
    <w:tmpl w:val="FD9E40B2"/>
    <w:lvl w:ilvl="0" w:tplc="E7125A1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269D2"/>
    <w:multiLevelType w:val="hybridMultilevel"/>
    <w:tmpl w:val="EC528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81768"/>
    <w:multiLevelType w:val="hybridMultilevel"/>
    <w:tmpl w:val="29A62574"/>
    <w:lvl w:ilvl="0" w:tplc="8D2C3BE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A7005"/>
    <w:multiLevelType w:val="hybridMultilevel"/>
    <w:tmpl w:val="BBA6654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780290">
      <w:numFmt w:val="bullet"/>
      <w:lvlText w:val=""/>
      <w:lvlJc w:val="left"/>
      <w:pPr>
        <w:ind w:left="1582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DA7458F"/>
    <w:multiLevelType w:val="hybridMultilevel"/>
    <w:tmpl w:val="350C86CE"/>
    <w:lvl w:ilvl="0" w:tplc="4AC4C478">
      <w:start w:val="1"/>
      <w:numFmt w:val="bullet"/>
      <w:lvlText w:val="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20"/>
  </w:num>
  <w:num w:numId="9">
    <w:abstractNumId w:val="14"/>
  </w:num>
  <w:num w:numId="10">
    <w:abstractNumId w:val="16"/>
  </w:num>
  <w:num w:numId="11">
    <w:abstractNumId w:val="21"/>
  </w:num>
  <w:num w:numId="12">
    <w:abstractNumId w:val="8"/>
  </w:num>
  <w:num w:numId="13">
    <w:abstractNumId w:val="17"/>
  </w:num>
  <w:num w:numId="14">
    <w:abstractNumId w:val="22"/>
  </w:num>
  <w:num w:numId="15">
    <w:abstractNumId w:val="24"/>
  </w:num>
  <w:num w:numId="16">
    <w:abstractNumId w:val="11"/>
  </w:num>
  <w:num w:numId="17">
    <w:abstractNumId w:val="6"/>
  </w:num>
  <w:num w:numId="18">
    <w:abstractNumId w:val="15"/>
  </w:num>
  <w:num w:numId="19">
    <w:abstractNumId w:val="7"/>
  </w:num>
  <w:num w:numId="20">
    <w:abstractNumId w:val="1"/>
  </w:num>
  <w:num w:numId="21">
    <w:abstractNumId w:val="18"/>
  </w:num>
  <w:num w:numId="22">
    <w:abstractNumId w:val="10"/>
  </w:num>
  <w:num w:numId="23">
    <w:abstractNumId w:val="3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A6"/>
    <w:rsid w:val="00012712"/>
    <w:rsid w:val="00014821"/>
    <w:rsid w:val="00031E80"/>
    <w:rsid w:val="000327F0"/>
    <w:rsid w:val="00032C39"/>
    <w:rsid w:val="000577F7"/>
    <w:rsid w:val="0008078F"/>
    <w:rsid w:val="00084D70"/>
    <w:rsid w:val="000A01D3"/>
    <w:rsid w:val="000C4E0D"/>
    <w:rsid w:val="000D31FE"/>
    <w:rsid w:val="000F2CAD"/>
    <w:rsid w:val="00117C4D"/>
    <w:rsid w:val="00127D1D"/>
    <w:rsid w:val="00141525"/>
    <w:rsid w:val="00155316"/>
    <w:rsid w:val="00172C44"/>
    <w:rsid w:val="00191553"/>
    <w:rsid w:val="001A3649"/>
    <w:rsid w:val="001A5A38"/>
    <w:rsid w:val="001F6BB3"/>
    <w:rsid w:val="00213502"/>
    <w:rsid w:val="002169F2"/>
    <w:rsid w:val="002A03D9"/>
    <w:rsid w:val="002B14C5"/>
    <w:rsid w:val="002F75A0"/>
    <w:rsid w:val="0034366A"/>
    <w:rsid w:val="00393B3E"/>
    <w:rsid w:val="003977A6"/>
    <w:rsid w:val="003D2EA5"/>
    <w:rsid w:val="003D73A4"/>
    <w:rsid w:val="003E7D8D"/>
    <w:rsid w:val="00412D90"/>
    <w:rsid w:val="00451EBA"/>
    <w:rsid w:val="0045238F"/>
    <w:rsid w:val="004E5EE6"/>
    <w:rsid w:val="005320BD"/>
    <w:rsid w:val="0054596E"/>
    <w:rsid w:val="00564175"/>
    <w:rsid w:val="005C32B2"/>
    <w:rsid w:val="005E05D3"/>
    <w:rsid w:val="005E691E"/>
    <w:rsid w:val="006053C0"/>
    <w:rsid w:val="00641B6A"/>
    <w:rsid w:val="006424F9"/>
    <w:rsid w:val="0065349D"/>
    <w:rsid w:val="006B3D53"/>
    <w:rsid w:val="006C01A4"/>
    <w:rsid w:val="006D4C12"/>
    <w:rsid w:val="006E7494"/>
    <w:rsid w:val="007302CF"/>
    <w:rsid w:val="007B66BD"/>
    <w:rsid w:val="007D2FB7"/>
    <w:rsid w:val="007D3B1C"/>
    <w:rsid w:val="00827869"/>
    <w:rsid w:val="008E19E2"/>
    <w:rsid w:val="00923742"/>
    <w:rsid w:val="00973E82"/>
    <w:rsid w:val="0098017D"/>
    <w:rsid w:val="00981CB5"/>
    <w:rsid w:val="009959B7"/>
    <w:rsid w:val="00A35D7C"/>
    <w:rsid w:val="00A63714"/>
    <w:rsid w:val="00A76422"/>
    <w:rsid w:val="00A8182F"/>
    <w:rsid w:val="00AA18B8"/>
    <w:rsid w:val="00BB5743"/>
    <w:rsid w:val="00BD2C64"/>
    <w:rsid w:val="00BF2146"/>
    <w:rsid w:val="00C123BD"/>
    <w:rsid w:val="00C15FC1"/>
    <w:rsid w:val="00C225A4"/>
    <w:rsid w:val="00C303D6"/>
    <w:rsid w:val="00C37846"/>
    <w:rsid w:val="00C54AE6"/>
    <w:rsid w:val="00C5645D"/>
    <w:rsid w:val="00C67933"/>
    <w:rsid w:val="00C75C9F"/>
    <w:rsid w:val="00C804A8"/>
    <w:rsid w:val="00C95C77"/>
    <w:rsid w:val="00D23AEE"/>
    <w:rsid w:val="00DA0E1B"/>
    <w:rsid w:val="00DC3C9E"/>
    <w:rsid w:val="00DF3F68"/>
    <w:rsid w:val="00E13F22"/>
    <w:rsid w:val="00E207C8"/>
    <w:rsid w:val="00E20BC8"/>
    <w:rsid w:val="00E22E03"/>
    <w:rsid w:val="00E45159"/>
    <w:rsid w:val="00E6758D"/>
    <w:rsid w:val="00E71E46"/>
    <w:rsid w:val="00E8496B"/>
    <w:rsid w:val="00EB12D0"/>
    <w:rsid w:val="00EE6CD4"/>
    <w:rsid w:val="00EF3D9B"/>
    <w:rsid w:val="00F22AA8"/>
    <w:rsid w:val="00F55446"/>
    <w:rsid w:val="00F77F3E"/>
    <w:rsid w:val="00F82200"/>
    <w:rsid w:val="00F901E3"/>
    <w:rsid w:val="00FB3BC1"/>
    <w:rsid w:val="00FB6C29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17DF2645-5311-4E71-B840-615F119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22AA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5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wypunktowanie Znak"/>
    <w:link w:val="Tekstpodstawowy"/>
    <w:uiPriority w:val="99"/>
    <w:locked/>
    <w:rsid w:val="00F22AA8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uiPriority w:val="99"/>
    <w:unhideWhenUsed/>
    <w:rsid w:val="00F22AA8"/>
    <w:pPr>
      <w:spacing w:after="0" w:line="240" w:lineRule="auto"/>
    </w:pPr>
    <w:rPr>
      <w:rFonts w:ascii="Arial" w:eastAsiaTheme="minorHAnsi" w:hAnsi="Arial" w:cs="Arial"/>
      <w:lang w:val="fr-FR"/>
    </w:rPr>
  </w:style>
  <w:style w:type="character" w:customStyle="1" w:styleId="TekstpodstawowyZnak1">
    <w:name w:val="Tekst podstawowy Znak1"/>
    <w:basedOn w:val="Domylnaczcionkaakapitu"/>
    <w:uiPriority w:val="99"/>
    <w:semiHidden/>
    <w:rsid w:val="00F22AA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2AA8"/>
    <w:pPr>
      <w:ind w:left="720"/>
      <w:contextualSpacing/>
    </w:pPr>
  </w:style>
  <w:style w:type="table" w:styleId="Tabela-Siatka">
    <w:name w:val="Table Grid"/>
    <w:basedOn w:val="Standardowy"/>
    <w:uiPriority w:val="39"/>
    <w:rsid w:val="0098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3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3D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C12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5A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5A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A5A3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188E-CB86-4D11-8D82-646E65E2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9</Pages>
  <Words>3853</Words>
  <Characters>23119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Sędzik</dc:creator>
  <cp:keywords/>
  <dc:description/>
  <cp:lastModifiedBy>Krzysztof Kolarz</cp:lastModifiedBy>
  <cp:revision>34</cp:revision>
  <cp:lastPrinted>2025-01-20T08:07:00Z</cp:lastPrinted>
  <dcterms:created xsi:type="dcterms:W3CDTF">2023-01-20T08:22:00Z</dcterms:created>
  <dcterms:modified xsi:type="dcterms:W3CDTF">2025-01-21T09:57:00Z</dcterms:modified>
</cp:coreProperties>
</file>